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 Selective Electromagnetic-Transfer Candidate for the Cosmological Lithium Problem</w:t>
      </w:r>
    </w:p>
    <w:p>
      <w:pPr>
        <w:jc w:val="center"/>
      </w:pPr>
      <w:r>
        <w:rPr>
          <w:i/>
          <w:sz w:val="22"/>
        </w:rPr>
        <w:t>August 2026 findings with September 2026 full Planck PR4/NPIPE nuisance qualification</w:t>
      </w:r>
    </w:p>
    <w:p>
      <w:pPr>
        <w:jc w:val="center"/>
      </w:pPr>
      <w:r>
        <w:rPr>
          <w:b/>
        </w:rPr>
        <w:t>Authors: Clive Stewart Boyd; David Ng</w:t>
      </w:r>
    </w:p>
    <w:p>
      <w:pPr>
        <w:jc w:val="center"/>
      </w:pPr>
      <w:r>
        <w:t>Generated: 11 September 2026 | Melbourne, Australia</w:t>
      </w:r>
    </w:p>
    <w:p>
      <w:pPr>
        <w:jc w:val="center"/>
      </w:pPr>
      <w:r>
        <w:rPr>
          <w:i/>
        </w:rPr>
        <w:t>Computational assistance and reproducibility support: ChatGPT Codex sol 5.5</w:t>
      </w:r>
    </w:p>
    <w:p/>
    <w:p>
      <w:pPr>
        <w:jc w:val="center"/>
      </w:pPr>
      <w:r>
        <w:rPr>
          <w:b/>
          <w:color w:val="9C5700"/>
        </w:rPr>
        <w:t>EVIDENCE STATUS: Formal paper draft. CMB gate qualified; mechanism promotion remains conditional.</w:t>
      </w:r>
    </w:p>
    <w:p>
      <w:r>
        <w:br w:type="page"/>
      </w:r>
    </w:p>
    <w:p>
      <w:pPr>
        <w:pStyle w:val="Heading1"/>
      </w:pPr>
      <w:r>
        <w:t>Lay Person Description</w:t>
      </w:r>
    </w:p>
    <w:p>
      <w:r>
        <w:t>The early Universe made mostly hydrogen and helium, plus tiny amounts of deuterium, helium-3 and lithium. Modern calculations predict deuterium and helium very well, but they predict too much lithium compared with old metal-poor stars. This long-standing mismatch is the cosmological lithium problem.</w:t>
      </w:r>
    </w:p>
    <w:p>
      <w:r>
        <w:t>The July tests tried broad ways to change the early-Universe calculation. Those did not work: when lithium moved in the right direction, something else, usually deuterium or helium, moved out of agreement. The August work then tested a more selective idea: a late, narrow electromagnetic process could reduce the mass-7 reservoir after normal nucleosynthesis without spoiling the successful deuterium and helium predictions.</w:t>
      </w:r>
    </w:p>
    <w:p>
      <w:r>
        <w:t>The September update asks whether this selected candidate is still acceptable when compared with the detailed Planck CMB data, including calibration and foreground nuisance parameters. The answer is yes under the current audit gates. The result is not yet proof of a new particle or interaction, but it is strong enough to justify a formal follow-up programme.</w:t>
      </w:r>
    </w:p>
    <w:p>
      <w:pPr>
        <w:pStyle w:val="Heading1"/>
      </w:pPr>
      <w:r>
        <w:t>Connection to Existing Papers</w:t>
      </w:r>
    </w:p>
    <w:p>
      <w:r>
        <w:t>The work sits inside a long literature on the lithium anomaly, precision BBN, stellar depletion, electromagnetic cascades, CMB constraints and spectral distortions. The references listed below are used as the current interpretive frame. They define the observational problem, the standard BBN baseline, the cascade machinery and the CMB/spectral gates.</w:t>
      </w:r>
    </w:p>
    <w:p>
      <w:pPr>
        <w:pStyle w:val="Caption"/>
      </w:pPr>
      <w:r>
        <w:rPr>
          <w:b/>
        </w:rPr>
        <w:t>Table 1. Literature cross-reference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b/>
                <w:sz w:val="17"/>
              </w:rPr>
              <w:t>Topic</w:t>
            </w:r>
          </w:p>
        </w:tc>
        <w:tc>
          <w:tcPr>
            <w:tcW w:type="dxa" w:w="3485"/>
            <w:vAlign w:val="top"/>
            <w:shd w:fill="D9EAF7"/>
          </w:tcPr>
          <w:p>
            <w:r/>
            <w:r>
              <w:rPr>
                <w:b/>
                <w:sz w:val="17"/>
              </w:rPr>
              <w:t>Representative references</w:t>
            </w:r>
          </w:p>
        </w:tc>
        <w:tc>
          <w:tcPr>
            <w:tcW w:type="dxa" w:w="3485"/>
            <w:vAlign w:val="top"/>
            <w:shd w:fill="D9EAF7"/>
          </w:tcPr>
          <w:p>
            <w:r/>
            <w:r>
              <w:rPr>
                <w:b/>
                <w:sz w:val="17"/>
              </w:rPr>
              <w:t>Role in this paper</w:t>
            </w:r>
          </w:p>
        </w:tc>
      </w:tr>
      <w:tr>
        <w:tc>
          <w:tcPr>
            <w:tcW w:type="dxa" w:w="3485"/>
            <w:vAlign w:val="top"/>
          </w:tcPr>
          <w:p>
            <w:r/>
            <w:r>
              <w:rPr>
                <w:b w:val="0"/>
                <w:sz w:val="17"/>
              </w:rPr>
              <w:t>Problem definition</w:t>
            </w:r>
          </w:p>
        </w:tc>
        <w:tc>
          <w:tcPr>
            <w:tcW w:type="dxa" w:w="3485"/>
            <w:vAlign w:val="top"/>
          </w:tcPr>
          <w:p>
            <w:r/>
            <w:r>
              <w:rPr>
                <w:b w:val="0"/>
                <w:sz w:val="17"/>
              </w:rPr>
              <w:t>Fields 2011; Cyburt, Fields and Olive 2008; Spite and Spite 1982; Sbordone et al. 2010; Ryan 2023.</w:t>
            </w:r>
          </w:p>
        </w:tc>
        <w:tc>
          <w:tcPr>
            <w:tcW w:type="dxa" w:w="3485"/>
            <w:vAlign w:val="top"/>
          </w:tcPr>
          <w:p>
            <w:r/>
            <w:r>
              <w:rPr>
                <w:b w:val="0"/>
                <w:sz w:val="17"/>
              </w:rPr>
              <w:t>Defines the Li-7 excess relative to metal-poor stellar plateaux.</w:t>
            </w:r>
          </w:p>
        </w:tc>
      </w:tr>
      <w:tr>
        <w:tc>
          <w:tcPr>
            <w:tcW w:type="dxa" w:w="3485"/>
            <w:vAlign w:val="top"/>
          </w:tcPr>
          <w:p>
            <w:r/>
            <w:r>
              <w:rPr>
                <w:b w:val="0"/>
                <w:sz w:val="17"/>
              </w:rPr>
              <w:t>Precision BBN</w:t>
            </w:r>
          </w:p>
        </w:tc>
        <w:tc>
          <w:tcPr>
            <w:tcW w:type="dxa" w:w="3485"/>
            <w:vAlign w:val="top"/>
          </w:tcPr>
          <w:p>
            <w:r/>
            <w:r>
              <w:rPr>
                <w:b w:val="0"/>
                <w:sz w:val="17"/>
              </w:rPr>
              <w:t>Cyburt et al. 2016; Pitrou et al. 2018; Fields et al. 2020; LINX 2024.</w:t>
            </w:r>
          </w:p>
        </w:tc>
        <w:tc>
          <w:tcPr>
            <w:tcW w:type="dxa" w:w="3485"/>
            <w:vAlign w:val="top"/>
          </w:tcPr>
          <w:p>
            <w:r/>
            <w:r>
              <w:rPr>
                <w:b w:val="0"/>
                <w:sz w:val="17"/>
              </w:rPr>
              <w:t>Defines standard abundance calculations and CMB-compatible baryon density handling.</w:t>
            </w:r>
          </w:p>
        </w:tc>
      </w:tr>
      <w:tr>
        <w:tc>
          <w:tcPr>
            <w:tcW w:type="dxa" w:w="3485"/>
            <w:vAlign w:val="top"/>
          </w:tcPr>
          <w:p>
            <w:r/>
            <w:r>
              <w:rPr>
                <w:b w:val="0"/>
                <w:sz w:val="17"/>
              </w:rPr>
              <w:t>Observational anchors</w:t>
            </w:r>
          </w:p>
        </w:tc>
        <w:tc>
          <w:tcPr>
            <w:tcW w:type="dxa" w:w="3485"/>
            <w:vAlign w:val="top"/>
          </w:tcPr>
          <w:p>
            <w:r/>
            <w:r>
              <w:rPr>
                <w:b w:val="0"/>
                <w:sz w:val="17"/>
              </w:rPr>
              <w:t>Cooke et al.; helium determinations; Planck Collaboration 2020.</w:t>
            </w:r>
          </w:p>
        </w:tc>
        <w:tc>
          <w:tcPr>
            <w:tcW w:type="dxa" w:w="3485"/>
            <w:vAlign w:val="top"/>
          </w:tcPr>
          <w:p>
            <w:r/>
            <w:r>
              <w:rPr>
                <w:b w:val="0"/>
                <w:sz w:val="17"/>
              </w:rPr>
              <w:t>Defines D/H, Y_p and CMB posterior constraints.</w:t>
            </w:r>
          </w:p>
        </w:tc>
      </w:tr>
      <w:tr>
        <w:tc>
          <w:tcPr>
            <w:tcW w:type="dxa" w:w="3485"/>
            <w:vAlign w:val="top"/>
          </w:tcPr>
          <w:p>
            <w:r/>
            <w:r>
              <w:rPr>
                <w:b w:val="0"/>
                <w:sz w:val="17"/>
              </w:rPr>
              <w:t>Cascade and late-decay physics</w:t>
            </w:r>
          </w:p>
        </w:tc>
        <w:tc>
          <w:tcPr>
            <w:tcW w:type="dxa" w:w="3485"/>
            <w:vAlign w:val="top"/>
          </w:tcPr>
          <w:p>
            <w:r/>
            <w:r>
              <w:rPr>
                <w:b w:val="0"/>
                <w:sz w:val="17"/>
              </w:rPr>
              <w:t>Depta et al. ACROPOLIS 2021 and related electromagnetic-decay constraints.</w:t>
            </w:r>
          </w:p>
        </w:tc>
        <w:tc>
          <w:tcPr>
            <w:tcW w:type="dxa" w:w="3485"/>
            <w:vAlign w:val="top"/>
          </w:tcPr>
          <w:p>
            <w:r/>
            <w:r>
              <w:rPr>
                <w:b w:val="0"/>
                <w:sz w:val="17"/>
              </w:rPr>
              <w:t>Tests whether a late electromagnetic process damages other light elements.</w:t>
            </w:r>
          </w:p>
        </w:tc>
      </w:tr>
      <w:tr>
        <w:tc>
          <w:tcPr>
            <w:tcW w:type="dxa" w:w="3485"/>
            <w:vAlign w:val="top"/>
          </w:tcPr>
          <w:p>
            <w:r/>
            <w:r>
              <w:rPr>
                <w:b w:val="0"/>
                <w:sz w:val="17"/>
              </w:rPr>
              <w:t>CMB and spectral gates</w:t>
            </w:r>
          </w:p>
        </w:tc>
        <w:tc>
          <w:tcPr>
            <w:tcW w:type="dxa" w:w="3485"/>
            <w:vAlign w:val="top"/>
          </w:tcPr>
          <w:p>
            <w:r/>
            <w:r>
              <w:rPr>
                <w:b w:val="0"/>
                <w:sz w:val="17"/>
              </w:rPr>
              <w:t>Planck PR4/NPIPE/CamSpec; Fixsen FIRAS; Khatri and Sunyaev.</w:t>
            </w:r>
          </w:p>
        </w:tc>
        <w:tc>
          <w:tcPr>
            <w:tcW w:type="dxa" w:w="3485"/>
            <w:vAlign w:val="top"/>
          </w:tcPr>
          <w:p>
            <w:r/>
            <w:r>
              <w:rPr>
                <w:b w:val="0"/>
                <w:sz w:val="17"/>
              </w:rPr>
              <w:t>Tests CMB consistency and spectral-distortion safety.</w:t>
            </w:r>
          </w:p>
        </w:tc>
      </w:tr>
    </w:tbl>
    <w:p/>
    <w:p>
      <w:pPr>
        <w:pStyle w:val="Heading1"/>
      </w:pPr>
      <w:r>
        <w:t>Abstract</w:t>
      </w:r>
    </w:p>
    <w:p>
      <w:r>
        <w:t>A two-stage investigation of the cosmological lithium problem is reported. The July 2026 phase tested standard and modified BBN controls, including expansion, clock-proxy, reaction-rate and SU2-style variations, and found no joint D/H, helium and Li-7 solution. The August 2026 phase instead tested a selective post-BBN electromagnetic-transfer candidate. A mediator cell with m_phi = 4.44 MeV, E_gamma = 2.22 MeV, tau_phi = 1.584893e5 s and n_phi/n_gamma = 1.211528e-6 gives Li-7/H = 1.488554e-10 while retaining the recorded D/H, Y_p, He3/D, entropy and spectral-distortion gates. A native Planck PR4/NPIPE CMB nuisance run subsequently sampled omega_b, N_eff and Y_p independently with the CamSpec TTTEEE, low-l TT, low-l EE and PR4 lensing likelihoods. The combined main plus ESS top-up audit passes all preregistered qualification gates, including min autocorrelation-aware ESS = 1449, independent split R-1 max = 0.002143 and registered-cell Delta chi2 = 1.257. The candidate is therefore CMB-gate qualified but remains conditional on matched NLO thermal physics and independent reproduction.</w:t>
      </w:r>
    </w:p>
    <w:p>
      <w:pPr>
        <w:pStyle w:val="Heading1"/>
      </w:pPr>
      <w:r>
        <w:t>1. Introduction</w:t>
      </w:r>
    </w:p>
    <w:p>
      <w:r>
        <w:t>The cosmological lithium problem is unusual because standard BBN is not globally broken. Deuterium and helium agree broadly with a CMB-inferred baryon density, yet Li-7/H remains high relative to the stellar plateau. Any proposed mechanism must therefore be selective. A broad change to expansion or baryon density is heavily constrained by the same observables that standard BBN already explains.</w:t>
      </w:r>
    </w:p>
    <w:p>
      <w:r>
        <w:t>This paper records the transition from negative July controls to a positive August candidate and then to a September CMB-nuisance qualification. The chronology matters because it prevents the August candidate being mistaken for an arbitrary retuning of the failed July pathways.</w:t>
      </w:r>
    </w:p>
    <w:p>
      <w:pPr>
        <w:pStyle w:val="Heading1"/>
      </w:pPr>
      <w:r>
        <w:t>2. Methods</w:t>
      </w:r>
    </w:p>
    <w:p>
      <w:r>
        <w:t>The computational programme used LINX for BBN network and abundance validation, ACROPOLIS for electromagnetic cascade checks, Cobaya and CAMB for native Planck CMB likelihood sampling, and project-specific Python audit layers for qualification gates and reproducibility. The analysis separates three claims: reproducing the standard lithium problem, finding a parameterised selective transfer that repairs lithium without damaging other gates, and promoting that parameterisation to a microscopic theory.</w:t>
      </w:r>
    </w:p>
    <w:p>
      <w:pPr>
        <w:pStyle w:val="Caption"/>
      </w:pPr>
      <w:r>
        <w:rPr>
          <w:b/>
        </w:rPr>
        <w:t>Table 2. Method blocks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b/>
                <w:sz w:val="17"/>
              </w:rPr>
              <w:t>Method block</w:t>
            </w:r>
          </w:p>
        </w:tc>
        <w:tc>
          <w:tcPr>
            <w:tcW w:type="dxa" w:w="3485"/>
            <w:vAlign w:val="top"/>
            <w:shd w:fill="D9EAF7"/>
          </w:tcPr>
          <w:p>
            <w:r/>
            <w:r>
              <w:rPr>
                <w:b/>
                <w:sz w:val="17"/>
              </w:rPr>
              <w:t>Implementation</w:t>
            </w:r>
          </w:p>
        </w:tc>
        <w:tc>
          <w:tcPr>
            <w:tcW w:type="dxa" w:w="3485"/>
            <w:vAlign w:val="top"/>
            <w:shd w:fill="D9EAF7"/>
          </w:tcPr>
          <w:p>
            <w:r/>
            <w:r>
              <w:rPr>
                <w:b/>
                <w:sz w:val="17"/>
              </w:rPr>
              <w:t>Decision role</w:t>
            </w:r>
          </w:p>
        </w:tc>
      </w:tr>
      <w:tr>
        <w:tc>
          <w:tcPr>
            <w:tcW w:type="dxa" w:w="3485"/>
            <w:vAlign w:val="top"/>
          </w:tcPr>
          <w:p>
            <w:r/>
            <w:r>
              <w:rPr>
                <w:b w:val="0"/>
                <w:sz w:val="17"/>
              </w:rPr>
              <w:t>Standard and modified BBN controls</w:t>
            </w:r>
          </w:p>
        </w:tc>
        <w:tc>
          <w:tcPr>
            <w:tcW w:type="dxa" w:w="3485"/>
            <w:vAlign w:val="top"/>
          </w:tcPr>
          <w:p>
            <w:r/>
            <w:r>
              <w:rPr>
                <w:b w:val="0"/>
                <w:sz w:val="17"/>
              </w:rPr>
              <w:t>July LINX/FR/SU2 scripts.</w:t>
            </w:r>
          </w:p>
        </w:tc>
        <w:tc>
          <w:tcPr>
            <w:tcW w:type="dxa" w:w="3485"/>
            <w:vAlign w:val="top"/>
          </w:tcPr>
          <w:p>
            <w:r/>
            <w:r>
              <w:rPr>
                <w:b w:val="0"/>
                <w:sz w:val="17"/>
              </w:rPr>
              <w:t>Negative control and failure-boundary definition.</w:t>
            </w:r>
          </w:p>
        </w:tc>
      </w:tr>
      <w:tr>
        <w:tc>
          <w:tcPr>
            <w:tcW w:type="dxa" w:w="3485"/>
            <w:vAlign w:val="top"/>
          </w:tcPr>
          <w:p>
            <w:r/>
            <w:r>
              <w:rPr>
                <w:b w:val="0"/>
                <w:sz w:val="17"/>
              </w:rPr>
              <w:t>Selective transfer/cascade checks</w:t>
            </w:r>
          </w:p>
        </w:tc>
        <w:tc>
          <w:tcPr>
            <w:tcW w:type="dxa" w:w="3485"/>
            <w:vAlign w:val="top"/>
          </w:tcPr>
          <w:p>
            <w:r/>
            <w:r>
              <w:rPr>
                <w:b w:val="0"/>
                <w:sz w:val="17"/>
              </w:rPr>
              <w:t>ACROPOLIS plus LINX candidate pipeline.</w:t>
            </w:r>
          </w:p>
        </w:tc>
        <w:tc>
          <w:tcPr>
            <w:tcW w:type="dxa" w:w="3485"/>
            <w:vAlign w:val="top"/>
          </w:tcPr>
          <w:p>
            <w:r/>
            <w:r>
              <w:rPr>
                <w:b w:val="0"/>
                <w:sz w:val="17"/>
              </w:rPr>
              <w:t>Candidate discovery and abundance safety screen.</w:t>
            </w:r>
          </w:p>
        </w:tc>
      </w:tr>
      <w:tr>
        <w:tc>
          <w:tcPr>
            <w:tcW w:type="dxa" w:w="3485"/>
            <w:vAlign w:val="top"/>
          </w:tcPr>
          <w:p>
            <w:r/>
            <w:r>
              <w:rPr>
                <w:b w:val="0"/>
                <w:sz w:val="17"/>
              </w:rPr>
              <w:t>Finite-temperature production</w:t>
            </w:r>
          </w:p>
        </w:tc>
        <w:tc>
          <w:tcPr>
            <w:tcW w:type="dxa" w:w="3485"/>
            <w:vAlign w:val="top"/>
          </w:tcPr>
          <w:p>
            <w:r/>
            <w:r>
              <w:rPr>
                <w:b w:val="0"/>
                <w:sz w:val="17"/>
              </w:rPr>
              <w:t>Momentum-resolved and resummed production calculations.</w:t>
            </w:r>
          </w:p>
        </w:tc>
        <w:tc>
          <w:tcPr>
            <w:tcW w:type="dxa" w:w="3485"/>
            <w:vAlign w:val="top"/>
          </w:tcPr>
          <w:p>
            <w:r/>
            <w:r>
              <w:rPr>
                <w:b w:val="0"/>
                <w:sz w:val="17"/>
              </w:rPr>
              <w:t>Tests whether the candidate abundance is physically plausible.</w:t>
            </w:r>
          </w:p>
        </w:tc>
      </w:tr>
      <w:tr>
        <w:tc>
          <w:tcPr>
            <w:tcW w:type="dxa" w:w="3485"/>
            <w:vAlign w:val="top"/>
          </w:tcPr>
          <w:p>
            <w:r/>
            <w:r>
              <w:rPr>
                <w:b w:val="0"/>
                <w:sz w:val="17"/>
              </w:rPr>
              <w:t>Native CMB nuisance likelihood</w:t>
            </w:r>
          </w:p>
        </w:tc>
        <w:tc>
          <w:tcPr>
            <w:tcW w:type="dxa" w:w="3485"/>
            <w:vAlign w:val="top"/>
          </w:tcPr>
          <w:p>
            <w:r/>
            <w:r>
              <w:rPr>
                <w:b w:val="0"/>
                <w:sz w:val="17"/>
              </w:rPr>
              <w:t>Cobaya/CAMB with Planck PR4/NPIPE CamSpec, low-l TT, low-l EE and PR4 lensing.</w:t>
            </w:r>
          </w:p>
        </w:tc>
        <w:tc>
          <w:tcPr>
            <w:tcW w:type="dxa" w:w="3485"/>
            <w:vAlign w:val="top"/>
          </w:tcPr>
          <w:p>
            <w:r/>
            <w:r>
              <w:rPr>
                <w:b w:val="0"/>
                <w:sz w:val="17"/>
              </w:rPr>
              <w:t>Replaces compressed CMB gate.</w:t>
            </w:r>
          </w:p>
        </w:tc>
      </w:tr>
      <w:tr>
        <w:tc>
          <w:tcPr>
            <w:tcW w:type="dxa" w:w="3485"/>
            <w:vAlign w:val="top"/>
          </w:tcPr>
          <w:p>
            <w:r/>
            <w:r>
              <w:rPr>
                <w:b w:val="0"/>
                <w:sz w:val="17"/>
              </w:rPr>
              <w:t>Qualification audit</w:t>
            </w:r>
          </w:p>
        </w:tc>
        <w:tc>
          <w:tcPr>
            <w:tcW w:type="dxa" w:w="3485"/>
            <w:vAlign w:val="top"/>
          </w:tcPr>
          <w:p>
            <w:r/>
            <w:r>
              <w:rPr>
                <w:b w:val="0"/>
                <w:sz w:val="17"/>
              </w:rPr>
              <w:t>Split-chain, autocorrelation ESS, nuisance stability and registered-cell density scripts.</w:t>
            </w:r>
          </w:p>
        </w:tc>
        <w:tc>
          <w:tcPr>
            <w:tcW w:type="dxa" w:w="3485"/>
            <w:vAlign w:val="top"/>
          </w:tcPr>
          <w:p>
            <w:r/>
            <w:r>
              <w:rPr>
                <w:b w:val="0"/>
                <w:sz w:val="17"/>
              </w:rPr>
              <w:t>Determines whether the CMB gate is technically qualified.</w:t>
            </w:r>
          </w:p>
        </w:tc>
      </w:tr>
    </w:tbl>
    <w:p/>
    <w:p>
      <w:pPr>
        <w:pStyle w:val="Heading1"/>
      </w:pPr>
      <w:r>
        <w:t>3. Results</w:t>
      </w:r>
    </w:p>
    <w:p>
      <w:pPr>
        <w:pStyle w:val="Heading2"/>
      </w:pPr>
      <w:r>
        <w:t>3.1 July Negative Controls</w:t>
      </w:r>
    </w:p>
    <w:p>
      <w:r>
        <w:t>The July programme reproduced the anomaly and tested whether broad modifications could resolve it. The result was negative: no tested global modification simultaneously preserved deuterium, helium and lithium. This result is scientifically useful because it sharply constrains what a successful mechanism can look like.</w:t>
      </w:r>
    </w:p>
    <w:p>
      <w:pPr>
        <w:pStyle w:val="Caption"/>
      </w:pPr>
      <w:r>
        <w:rPr>
          <w:b/>
        </w:rPr>
        <w:t>TV index</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Traceability item</w:t>
            </w:r>
          </w:p>
        </w:tc>
        <w:tc>
          <w:tcPr>
            <w:tcW w:type="dxa" w:w="5227"/>
            <w:vAlign w:val="top"/>
            <w:shd w:fill="D9EAF7"/>
          </w:tcPr>
          <w:p>
            <w:r/>
            <w:r>
              <w:rPr>
                <w:b/>
                <w:sz w:val="17"/>
              </w:rPr>
              <w:t>Recorded value</w:t>
            </w:r>
          </w:p>
        </w:tc>
      </w:tr>
      <w:tr>
        <w:tc>
          <w:tcPr>
            <w:tcW w:type="dxa" w:w="5227"/>
            <w:vAlign w:val="top"/>
          </w:tcPr>
          <w:p>
            <w:r/>
            <w:r>
              <w:rPr>
                <w:b w:val="0"/>
                <w:sz w:val="17"/>
              </w:rPr>
              <w:t>Stage</w:t>
            </w:r>
          </w:p>
        </w:tc>
        <w:tc>
          <w:tcPr>
            <w:tcW w:type="dxa" w:w="5227"/>
            <w:vAlign w:val="top"/>
          </w:tcPr>
          <w:p>
            <w:r/>
            <w:r>
              <w:rPr>
                <w:b w:val="0"/>
                <w:sz w:val="17"/>
              </w:rPr>
              <w:t>July 16-18, 2026.</w:t>
            </w:r>
          </w:p>
        </w:tc>
      </w:tr>
      <w:tr>
        <w:tc>
          <w:tcPr>
            <w:tcW w:type="dxa" w:w="5227"/>
            <w:vAlign w:val="top"/>
          </w:tcPr>
          <w:p>
            <w:r/>
            <w:r>
              <w:rPr>
                <w:b w:val="0"/>
                <w:sz w:val="17"/>
              </w:rPr>
              <w:t>Result</w:t>
            </w:r>
          </w:p>
        </w:tc>
        <w:tc>
          <w:tcPr>
            <w:tcW w:type="dxa" w:w="5227"/>
            <w:vAlign w:val="top"/>
          </w:tcPr>
          <w:p>
            <w:r/>
            <w:r>
              <w:rPr>
                <w:b w:val="0"/>
                <w:sz w:val="17"/>
              </w:rPr>
              <w:t>No D/H + helium + Li-7 pass from standard, FR/clock-proxy, reaction-rate or SU2-style control scans.</w:t>
            </w:r>
          </w:p>
        </w:tc>
      </w:tr>
      <w:tr>
        <w:tc>
          <w:tcPr>
            <w:tcW w:type="dxa" w:w="5227"/>
            <w:vAlign w:val="top"/>
          </w:tcPr>
          <w:p>
            <w:r/>
            <w:r>
              <w:rPr>
                <w:b w:val="0"/>
                <w:sz w:val="17"/>
              </w:rPr>
              <w:t>Consequence</w:t>
            </w:r>
          </w:p>
        </w:tc>
        <w:tc>
          <w:tcPr>
            <w:tcW w:type="dxa" w:w="5227"/>
            <w:vAlign w:val="top"/>
          </w:tcPr>
          <w:p>
            <w:r/>
            <w:r>
              <w:rPr>
                <w:b w:val="0"/>
                <w:sz w:val="17"/>
              </w:rPr>
              <w:t>Future solution must be selective rather than a broad background retuning.</w:t>
            </w:r>
          </w:p>
        </w:tc>
      </w:tr>
    </w:tbl>
    <w:p/>
    <w:p>
      <w:pPr>
        <w:pStyle w:val="Heading2"/>
      </w:pPr>
      <w:r>
        <w:t>3.2 August Selective Candidate</w:t>
      </w:r>
    </w:p>
    <w:p>
      <w:r>
        <w:t>The August candidate uses a narrow electromagnetic window after ordinary BBN. Its central physical premise is that mass-7, mostly Be-7 before electron capture, can be reduced without crossing into broad deuterium destruction. The candidate therefore targets the unusual topology of the mass-7 pathway rather than changing the whole thermal history.</w:t>
      </w:r>
    </w:p>
    <w:p>
      <w:pPr>
        <w:pStyle w:val="Caption"/>
      </w:pPr>
      <w:r>
        <w:rPr>
          <w:b/>
        </w:rPr>
        <w:t>Table 3. Registered August candidate</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Quantity</w:t>
            </w:r>
          </w:p>
        </w:tc>
        <w:tc>
          <w:tcPr>
            <w:tcW w:type="dxa" w:w="5227"/>
            <w:vAlign w:val="top"/>
            <w:shd w:fill="D9EAF7"/>
          </w:tcPr>
          <w:p>
            <w:r/>
            <w:r>
              <w:rPr>
                <w:b/>
                <w:sz w:val="17"/>
              </w:rPr>
              <w:t>Value</w:t>
            </w:r>
          </w:p>
        </w:tc>
      </w:tr>
      <w:tr>
        <w:tc>
          <w:tcPr>
            <w:tcW w:type="dxa" w:w="5227"/>
            <w:vAlign w:val="top"/>
          </w:tcPr>
          <w:p>
            <w:r/>
            <w:r>
              <w:rPr>
                <w:b w:val="0"/>
                <w:sz w:val="17"/>
              </w:rPr>
              <w:t>mediator_mass_MeV</w:t>
            </w:r>
          </w:p>
        </w:tc>
        <w:tc>
          <w:tcPr>
            <w:tcW w:type="dxa" w:w="5227"/>
            <w:vAlign w:val="top"/>
          </w:tcPr>
          <w:p>
            <w:r/>
            <w:r>
              <w:rPr>
                <w:b w:val="0"/>
                <w:sz w:val="17"/>
              </w:rPr>
              <w:t>4.44</w:t>
            </w:r>
          </w:p>
        </w:tc>
      </w:tr>
      <w:tr>
        <w:tc>
          <w:tcPr>
            <w:tcW w:type="dxa" w:w="5227"/>
            <w:vAlign w:val="top"/>
          </w:tcPr>
          <w:p>
            <w:r/>
            <w:r>
              <w:rPr>
                <w:b w:val="0"/>
                <w:sz w:val="17"/>
              </w:rPr>
              <w:t>photon_energy_MeV</w:t>
            </w:r>
          </w:p>
        </w:tc>
        <w:tc>
          <w:tcPr>
            <w:tcW w:type="dxa" w:w="5227"/>
            <w:vAlign w:val="top"/>
          </w:tcPr>
          <w:p>
            <w:r/>
            <w:r>
              <w:rPr>
                <w:b w:val="0"/>
                <w:sz w:val="17"/>
              </w:rPr>
              <w:t>2.22</w:t>
            </w:r>
          </w:p>
        </w:tc>
      </w:tr>
      <w:tr>
        <w:tc>
          <w:tcPr>
            <w:tcW w:type="dxa" w:w="5227"/>
            <w:vAlign w:val="top"/>
          </w:tcPr>
          <w:p>
            <w:r/>
            <w:r>
              <w:rPr>
                <w:b w:val="0"/>
                <w:sz w:val="17"/>
              </w:rPr>
              <w:t>lifetime_s</w:t>
            </w:r>
          </w:p>
        </w:tc>
        <w:tc>
          <w:tcPr>
            <w:tcW w:type="dxa" w:w="5227"/>
            <w:vAlign w:val="top"/>
          </w:tcPr>
          <w:p>
            <w:r/>
            <w:r>
              <w:rPr>
                <w:b w:val="0"/>
                <w:sz w:val="17"/>
              </w:rPr>
              <w:t>1.584893e+05</w:t>
            </w:r>
          </w:p>
        </w:tc>
      </w:tr>
      <w:tr>
        <w:tc>
          <w:tcPr>
            <w:tcW w:type="dxa" w:w="5227"/>
            <w:vAlign w:val="top"/>
          </w:tcPr>
          <w:p>
            <w:r/>
            <w:r>
              <w:rPr>
                <w:b w:val="0"/>
                <w:sz w:val="17"/>
              </w:rPr>
              <w:t>n_phi_over_n_gamma_at_10MeV</w:t>
            </w:r>
          </w:p>
        </w:tc>
        <w:tc>
          <w:tcPr>
            <w:tcW w:type="dxa" w:w="5227"/>
            <w:vAlign w:val="top"/>
          </w:tcPr>
          <w:p>
            <w:r/>
            <w:r>
              <w:rPr>
                <w:b w:val="0"/>
                <w:sz w:val="17"/>
              </w:rPr>
              <w:t>1.211528e-06</w:t>
            </w:r>
          </w:p>
        </w:tc>
      </w:tr>
      <w:tr>
        <w:tc>
          <w:tcPr>
            <w:tcW w:type="dxa" w:w="5227"/>
            <w:vAlign w:val="top"/>
          </w:tcPr>
          <w:p>
            <w:r/>
            <w:r>
              <w:rPr>
                <w:b w:val="0"/>
                <w:sz w:val="17"/>
              </w:rPr>
              <w:t>g_phi_gamma_GeV_inv</w:t>
            </w:r>
          </w:p>
        </w:tc>
        <w:tc>
          <w:tcPr>
            <w:tcW w:type="dxa" w:w="5227"/>
            <w:vAlign w:val="top"/>
          </w:tcPr>
          <w:p>
            <w:r/>
            <w:r>
              <w:rPr>
                <w:b w:val="0"/>
                <w:sz w:val="17"/>
              </w:rPr>
              <w:t>9.767274e-11</w:t>
            </w:r>
          </w:p>
        </w:tc>
      </w:tr>
      <w:tr>
        <w:tc>
          <w:tcPr>
            <w:tcW w:type="dxa" w:w="5227"/>
            <w:vAlign w:val="top"/>
          </w:tcPr>
          <w:p>
            <w:r/>
            <w:r>
              <w:rPr>
                <w:b w:val="0"/>
                <w:sz w:val="17"/>
              </w:rPr>
              <w:t>D_H_times_1e5</w:t>
            </w:r>
          </w:p>
        </w:tc>
        <w:tc>
          <w:tcPr>
            <w:tcW w:type="dxa" w:w="5227"/>
            <w:vAlign w:val="top"/>
          </w:tcPr>
          <w:p>
            <w:r/>
            <w:r>
              <w:rPr>
                <w:b w:val="0"/>
                <w:sz w:val="17"/>
              </w:rPr>
              <w:t>2.493161</w:t>
            </w:r>
          </w:p>
        </w:tc>
      </w:tr>
      <w:tr>
        <w:tc>
          <w:tcPr>
            <w:tcW w:type="dxa" w:w="5227"/>
            <w:vAlign w:val="top"/>
          </w:tcPr>
          <w:p>
            <w:r/>
            <w:r>
              <w:rPr>
                <w:b w:val="0"/>
                <w:sz w:val="17"/>
              </w:rPr>
              <w:t>Yp</w:t>
            </w:r>
          </w:p>
        </w:tc>
        <w:tc>
          <w:tcPr>
            <w:tcW w:type="dxa" w:w="5227"/>
            <w:vAlign w:val="top"/>
          </w:tcPr>
          <w:p>
            <w:r/>
            <w:r>
              <w:rPr>
                <w:b w:val="0"/>
                <w:sz w:val="17"/>
              </w:rPr>
              <w:t>0.246735</w:t>
            </w:r>
          </w:p>
        </w:tc>
      </w:tr>
      <w:tr>
        <w:tc>
          <w:tcPr>
            <w:tcW w:type="dxa" w:w="5227"/>
            <w:vAlign w:val="top"/>
          </w:tcPr>
          <w:p>
            <w:r/>
            <w:r>
              <w:rPr>
                <w:b w:val="0"/>
                <w:sz w:val="17"/>
              </w:rPr>
              <w:t>Li7_H_times_1e10</w:t>
            </w:r>
          </w:p>
        </w:tc>
        <w:tc>
          <w:tcPr>
            <w:tcW w:type="dxa" w:w="5227"/>
            <w:vAlign w:val="top"/>
          </w:tcPr>
          <w:p>
            <w:r/>
            <w:r>
              <w:rPr>
                <w:b w:val="0"/>
                <w:sz w:val="17"/>
              </w:rPr>
              <w:t>1.488554</w:t>
            </w:r>
          </w:p>
        </w:tc>
      </w:tr>
      <w:tr>
        <w:tc>
          <w:tcPr>
            <w:tcW w:type="dxa" w:w="5227"/>
            <w:vAlign w:val="top"/>
          </w:tcPr>
          <w:p>
            <w:r/>
            <w:r>
              <w:rPr>
                <w:b w:val="0"/>
                <w:sz w:val="17"/>
              </w:rPr>
              <w:t>He3_D</w:t>
            </w:r>
          </w:p>
        </w:tc>
        <w:tc>
          <w:tcPr>
            <w:tcW w:type="dxa" w:w="5227"/>
            <w:vAlign w:val="top"/>
          </w:tcPr>
          <w:p>
            <w:r/>
            <w:r>
              <w:rPr>
                <w:b w:val="0"/>
                <w:sz w:val="17"/>
              </w:rPr>
              <w:t>0.415242</w:t>
            </w:r>
          </w:p>
        </w:tc>
      </w:tr>
      <w:tr>
        <w:tc>
          <w:tcPr>
            <w:tcW w:type="dxa" w:w="5227"/>
            <w:vAlign w:val="top"/>
          </w:tcPr>
          <w:p>
            <w:r/>
            <w:r>
              <w:rPr>
                <w:b w:val="0"/>
                <w:sz w:val="17"/>
              </w:rPr>
              <w:t>eta10_CMB</w:t>
            </w:r>
          </w:p>
        </w:tc>
        <w:tc>
          <w:tcPr>
            <w:tcW w:type="dxa" w:w="5227"/>
            <w:vAlign w:val="top"/>
          </w:tcPr>
          <w:p>
            <w:r/>
            <w:r>
              <w:rPr>
                <w:b w:val="0"/>
                <w:sz w:val="17"/>
              </w:rPr>
              <w:t>6.096517</w:t>
            </w:r>
          </w:p>
        </w:tc>
      </w:tr>
      <w:tr>
        <w:tc>
          <w:tcPr>
            <w:tcW w:type="dxa" w:w="5227"/>
            <w:vAlign w:val="top"/>
          </w:tcPr>
          <w:p>
            <w:r/>
            <w:r>
              <w:rPr>
                <w:b w:val="0"/>
                <w:sz w:val="17"/>
              </w:rPr>
              <w:t>Neff_CMB</w:t>
            </w:r>
          </w:p>
        </w:tc>
        <w:tc>
          <w:tcPr>
            <w:tcW w:type="dxa" w:w="5227"/>
            <w:vAlign w:val="top"/>
          </w:tcPr>
          <w:p>
            <w:r/>
            <w:r>
              <w:rPr>
                <w:b w:val="0"/>
                <w:sz w:val="17"/>
              </w:rPr>
              <w:t>3.044601</w:t>
            </w:r>
          </w:p>
        </w:tc>
      </w:tr>
      <w:tr>
        <w:tc>
          <w:tcPr>
            <w:tcW w:type="dxa" w:w="5227"/>
            <w:vAlign w:val="top"/>
          </w:tcPr>
          <w:p>
            <w:r/>
            <w:r>
              <w:rPr>
                <w:b w:val="0"/>
                <w:sz w:val="17"/>
              </w:rPr>
              <w:t>mu_distortion</w:t>
            </w:r>
          </w:p>
        </w:tc>
        <w:tc>
          <w:tcPr>
            <w:tcW w:type="dxa" w:w="5227"/>
            <w:vAlign w:val="top"/>
          </w:tcPr>
          <w:p>
            <w:r/>
            <w:r>
              <w:rPr>
                <w:b w:val="0"/>
                <w:sz w:val="17"/>
              </w:rPr>
              <w:t>1.476434e-09</w:t>
            </w:r>
          </w:p>
        </w:tc>
      </w:tr>
      <w:tr>
        <w:tc>
          <w:tcPr>
            <w:tcW w:type="dxa" w:w="5227"/>
            <w:vAlign w:val="top"/>
          </w:tcPr>
          <w:p>
            <w:r/>
            <w:r>
              <w:rPr>
                <w:b w:val="0"/>
                <w:sz w:val="17"/>
              </w:rPr>
              <w:t>joint_pass_probability</w:t>
            </w:r>
          </w:p>
        </w:tc>
        <w:tc>
          <w:tcPr>
            <w:tcW w:type="dxa" w:w="5227"/>
            <w:vAlign w:val="top"/>
          </w:tcPr>
          <w:p>
            <w:r/>
            <w:r>
              <w:rPr>
                <w:b w:val="0"/>
                <w:sz w:val="17"/>
              </w:rPr>
              <w:t>0.650158</w:t>
            </w:r>
          </w:p>
        </w:tc>
      </w:tr>
      <w:tr>
        <w:tc>
          <w:tcPr>
            <w:tcW w:type="dxa" w:w="5227"/>
            <w:vAlign w:val="top"/>
          </w:tcPr>
          <w:p>
            <w:r/>
            <w:r>
              <w:rPr>
                <w:b w:val="0"/>
                <w:sz w:val="17"/>
              </w:rPr>
              <w:t>delta_log_evidence_vs_standard</w:t>
            </w:r>
          </w:p>
        </w:tc>
        <w:tc>
          <w:tcPr>
            <w:tcW w:type="dxa" w:w="5227"/>
            <w:vAlign w:val="top"/>
          </w:tcPr>
          <w:p>
            <w:r/>
            <w:r>
              <w:rPr>
                <w:b w:val="0"/>
                <w:sz w:val="17"/>
              </w:rPr>
              <w:t>105.206012</w:t>
            </w:r>
          </w:p>
        </w:tc>
      </w:tr>
      <w:tr>
        <w:tc>
          <w:tcPr>
            <w:tcW w:type="dxa" w:w="5227"/>
            <w:vAlign w:val="top"/>
          </w:tcPr>
          <w:p>
            <w:r/>
            <w:r>
              <w:rPr>
                <w:b w:val="0"/>
                <w:sz w:val="17"/>
              </w:rPr>
              <w:t>Planck bestfit eta10</w:t>
            </w:r>
          </w:p>
        </w:tc>
        <w:tc>
          <w:tcPr>
            <w:tcW w:type="dxa" w:w="5227"/>
            <w:vAlign w:val="top"/>
          </w:tcPr>
          <w:p>
            <w:r/>
            <w:r>
              <w:rPr>
                <w:b w:val="0"/>
                <w:sz w:val="17"/>
              </w:rPr>
              <w:t>6.105374</w:t>
            </w:r>
          </w:p>
        </w:tc>
      </w:tr>
      <w:tr>
        <w:tc>
          <w:tcPr>
            <w:tcW w:type="dxa" w:w="5227"/>
            <w:vAlign w:val="top"/>
          </w:tcPr>
          <w:p>
            <w:r/>
            <w:r>
              <w:rPr>
                <w:b w:val="0"/>
                <w:sz w:val="17"/>
              </w:rPr>
              <w:t>Planck bestfit nnu</w:t>
            </w:r>
          </w:p>
        </w:tc>
        <w:tc>
          <w:tcPr>
            <w:tcW w:type="dxa" w:w="5227"/>
            <w:vAlign w:val="top"/>
          </w:tcPr>
          <w:p>
            <w:r/>
            <w:r>
              <w:rPr>
                <w:b w:val="0"/>
                <w:sz w:val="17"/>
              </w:rPr>
              <w:t>2.84265</w:t>
            </w:r>
          </w:p>
        </w:tc>
      </w:tr>
      <w:tr>
        <w:tc>
          <w:tcPr>
            <w:tcW w:type="dxa" w:w="5227"/>
            <w:vAlign w:val="top"/>
          </w:tcPr>
          <w:p>
            <w:r/>
            <w:r>
              <w:rPr>
                <w:b w:val="0"/>
                <w:sz w:val="17"/>
              </w:rPr>
              <w:t>Planck bestfit YHe</w:t>
            </w:r>
          </w:p>
        </w:tc>
        <w:tc>
          <w:tcPr>
            <w:tcW w:type="dxa" w:w="5227"/>
            <w:vAlign w:val="top"/>
          </w:tcPr>
          <w:p>
            <w:r/>
            <w:r>
              <w:rPr>
                <w:b w:val="0"/>
                <w:sz w:val="17"/>
              </w:rPr>
              <w:t>0.282034</w:t>
            </w:r>
          </w:p>
        </w:tc>
      </w:tr>
      <w:tr>
        <w:tc>
          <w:tcPr>
            <w:tcW w:type="dxa" w:w="5227"/>
            <w:vAlign w:val="top"/>
          </w:tcPr>
          <w:p>
            <w:r/>
            <w:r>
              <w:rPr>
                <w:b w:val="0"/>
                <w:sz w:val="17"/>
              </w:rPr>
              <w:t>Planck bestfit chi2__CMB</w:t>
            </w:r>
          </w:p>
        </w:tc>
        <w:tc>
          <w:tcPr>
            <w:tcW w:type="dxa" w:w="5227"/>
            <w:vAlign w:val="top"/>
          </w:tcPr>
          <w:p>
            <w:r/>
            <w:r>
              <w:rPr>
                <w:b w:val="0"/>
                <w:sz w:val="17"/>
              </w:rPr>
              <w:t>10971.285</w:t>
            </w:r>
          </w:p>
        </w:tc>
      </w:tr>
    </w:tbl>
    <w:p/>
    <w:p>
      <w:pPr>
        <w:pStyle w:val="Caption"/>
      </w:pPr>
      <w:r>
        <w:rPr>
          <w:b/>
        </w:rPr>
        <w:t>TV index</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Traceability item</w:t>
            </w:r>
          </w:p>
        </w:tc>
        <w:tc>
          <w:tcPr>
            <w:tcW w:type="dxa" w:w="5227"/>
            <w:vAlign w:val="top"/>
            <w:shd w:fill="D9EAF7"/>
          </w:tcPr>
          <w:p>
            <w:r/>
            <w:r>
              <w:rPr>
                <w:b/>
                <w:sz w:val="17"/>
              </w:rPr>
              <w:t>Recorded value</w:t>
            </w:r>
          </w:p>
        </w:tc>
      </w:tr>
      <w:tr>
        <w:tc>
          <w:tcPr>
            <w:tcW w:type="dxa" w:w="5227"/>
            <w:vAlign w:val="top"/>
          </w:tcPr>
          <w:p>
            <w:r/>
            <w:r>
              <w:rPr>
                <w:b w:val="0"/>
                <w:sz w:val="17"/>
              </w:rPr>
              <w:t>Stage</w:t>
            </w:r>
          </w:p>
        </w:tc>
        <w:tc>
          <w:tcPr>
            <w:tcW w:type="dxa" w:w="5227"/>
            <w:vAlign w:val="top"/>
          </w:tcPr>
          <w:p>
            <w:r/>
            <w:r>
              <w:rPr>
                <w:b w:val="0"/>
                <w:sz w:val="17"/>
              </w:rPr>
              <w:t>August 20-21, 2026.</w:t>
            </w:r>
          </w:p>
        </w:tc>
      </w:tr>
      <w:tr>
        <w:tc>
          <w:tcPr>
            <w:tcW w:type="dxa" w:w="5227"/>
            <w:vAlign w:val="top"/>
          </w:tcPr>
          <w:p>
            <w:r/>
            <w:r>
              <w:rPr>
                <w:b w:val="0"/>
                <w:sz w:val="17"/>
              </w:rPr>
              <w:t>Positive result</w:t>
            </w:r>
          </w:p>
        </w:tc>
        <w:tc>
          <w:tcPr>
            <w:tcW w:type="dxa" w:w="5227"/>
            <w:vAlign w:val="top"/>
          </w:tcPr>
          <w:p>
            <w:r/>
            <w:r>
              <w:rPr>
                <w:b w:val="0"/>
                <w:sz w:val="17"/>
              </w:rPr>
              <w:t>Candidate passes the recorded abundance/cascade/FIRAS gates at the frozen cell.</w:t>
            </w:r>
          </w:p>
        </w:tc>
      </w:tr>
      <w:tr>
        <w:tc>
          <w:tcPr>
            <w:tcW w:type="dxa" w:w="5227"/>
            <w:vAlign w:val="top"/>
          </w:tcPr>
          <w:p>
            <w:r/>
            <w:r>
              <w:rPr>
                <w:b w:val="0"/>
                <w:sz w:val="17"/>
              </w:rPr>
              <w:t>Boundary</w:t>
            </w:r>
          </w:p>
        </w:tc>
        <w:tc>
          <w:tcPr>
            <w:tcW w:type="dxa" w:w="5227"/>
            <w:vAlign w:val="top"/>
          </w:tcPr>
          <w:p>
            <w:r/>
            <w:r>
              <w:rPr>
                <w:b w:val="0"/>
                <w:sz w:val="17"/>
              </w:rPr>
              <w:t>A complete action-level particle model is still not supplied.</w:t>
            </w:r>
          </w:p>
        </w:tc>
      </w:tr>
    </w:tbl>
    <w:p/>
    <w:p>
      <w:pPr>
        <w:pStyle w:val="Heading2"/>
      </w:pPr>
      <w:r>
        <w:t>3.3 Native Planck CMB Nuisance Qualification</w:t>
      </w:r>
    </w:p>
    <w:p>
      <w:r>
        <w:t>The native Planck PR4/NPIPE test is the strongest new constraint in this update. It lets omega_b, N_eff and Y_p vary independently, and marginalises over foreground and calibration nuisance directions rather than using only a compressed two-variable Planck prior.</w:t>
      </w:r>
    </w:p>
    <w:p>
      <w:pPr>
        <w:pStyle w:val="Caption"/>
      </w:pPr>
      <w:r>
        <w:rPr>
          <w:b/>
        </w:rPr>
        <w:t>Table 4. Qualification gates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D9EAF7"/>
          </w:tcPr>
          <w:p>
            <w:r/>
            <w:r>
              <w:rPr>
                <w:b/>
                <w:sz w:val="17"/>
              </w:rPr>
              <w:t>Gate</w:t>
            </w:r>
          </w:p>
        </w:tc>
        <w:tc>
          <w:tcPr>
            <w:tcW w:type="dxa" w:w="2613"/>
            <w:vAlign w:val="top"/>
            <w:shd w:fill="D9EAF7"/>
          </w:tcPr>
          <w:p>
            <w:r/>
            <w:r>
              <w:rPr>
                <w:b/>
                <w:sz w:val="17"/>
              </w:rPr>
              <w:t>Threshold</w:t>
            </w:r>
          </w:p>
        </w:tc>
        <w:tc>
          <w:tcPr>
            <w:tcW w:type="dxa" w:w="2613"/>
            <w:vAlign w:val="top"/>
            <w:shd w:fill="D9EAF7"/>
          </w:tcPr>
          <w:p>
            <w:r/>
            <w:r>
              <w:rPr>
                <w:b/>
                <w:sz w:val="17"/>
              </w:rPr>
              <w:t>Observed</w:t>
            </w:r>
          </w:p>
        </w:tc>
        <w:tc>
          <w:tcPr>
            <w:tcW w:type="dxa" w:w="2613"/>
            <w:vAlign w:val="top"/>
            <w:shd w:fill="D9EAF7"/>
          </w:tcPr>
          <w:p>
            <w:r/>
            <w:r>
              <w:rPr>
                <w:b/>
                <w:sz w:val="17"/>
              </w:rPr>
              <w:t>Pass</w:t>
            </w:r>
          </w:p>
        </w:tc>
      </w:tr>
      <w:tr>
        <w:tc>
          <w:tcPr>
            <w:tcW w:type="dxa" w:w="2613"/>
            <w:vAlign w:val="top"/>
          </w:tcPr>
          <w:p>
            <w:r/>
            <w:r>
              <w:rPr>
                <w:b w:val="0"/>
                <w:sz w:val="17"/>
              </w:rPr>
              <w:t>Cobaya split-chain mean R-1</w:t>
            </w:r>
          </w:p>
        </w:tc>
        <w:tc>
          <w:tcPr>
            <w:tcW w:type="dxa" w:w="2613"/>
            <w:vAlign w:val="top"/>
          </w:tcPr>
          <w:p>
            <w:r/>
            <w:r>
              <w:rPr>
                <w:b w:val="0"/>
                <w:sz w:val="17"/>
              </w:rPr>
              <w:t>&lt;= 0.03</w:t>
            </w:r>
          </w:p>
        </w:tc>
        <w:tc>
          <w:tcPr>
            <w:tcW w:type="dxa" w:w="2613"/>
            <w:vAlign w:val="top"/>
          </w:tcPr>
          <w:p>
            <w:r/>
            <w:r>
              <w:rPr>
                <w:b w:val="0"/>
                <w:sz w:val="17"/>
              </w:rPr>
              <w:t>0.0293</w:t>
            </w:r>
          </w:p>
        </w:tc>
        <w:tc>
          <w:tcPr>
            <w:tcW w:type="dxa" w:w="2613"/>
            <w:vAlign w:val="top"/>
          </w:tcPr>
          <w:p>
            <w:r/>
            <w:r>
              <w:rPr>
                <w:b w:val="0"/>
                <w:sz w:val="17"/>
              </w:rPr>
              <w:t>True</w:t>
            </w:r>
          </w:p>
        </w:tc>
      </w:tr>
      <w:tr>
        <w:tc>
          <w:tcPr>
            <w:tcW w:type="dxa" w:w="2613"/>
            <w:vAlign w:val="top"/>
          </w:tcPr>
          <w:p>
            <w:r/>
            <w:r>
              <w:rPr>
                <w:b w:val="0"/>
                <w:sz w:val="17"/>
              </w:rPr>
              <w:t>Independent split R-1 max over ombh2, nnu, YHe, nuisance</w:t>
            </w:r>
          </w:p>
        </w:tc>
        <w:tc>
          <w:tcPr>
            <w:tcW w:type="dxa" w:w="2613"/>
            <w:vAlign w:val="top"/>
          </w:tcPr>
          <w:p>
            <w:r/>
            <w:r>
              <w:rPr>
                <w:b w:val="0"/>
                <w:sz w:val="17"/>
              </w:rPr>
              <w:t>&lt;= 0.03</w:t>
            </w:r>
          </w:p>
        </w:tc>
        <w:tc>
          <w:tcPr>
            <w:tcW w:type="dxa" w:w="2613"/>
            <w:vAlign w:val="top"/>
          </w:tcPr>
          <w:p>
            <w:r/>
            <w:r>
              <w:rPr>
                <w:b w:val="0"/>
                <w:sz w:val="17"/>
              </w:rPr>
              <w:t>0.0021</w:t>
            </w:r>
          </w:p>
        </w:tc>
        <w:tc>
          <w:tcPr>
            <w:tcW w:type="dxa" w:w="2613"/>
            <w:vAlign w:val="top"/>
          </w:tcPr>
          <w:p>
            <w:r/>
            <w:r>
              <w:rPr>
                <w:b w:val="0"/>
                <w:sz w:val="17"/>
              </w:rPr>
              <w:t>True</w:t>
            </w:r>
          </w:p>
        </w:tc>
      </w:tr>
      <w:tr>
        <w:tc>
          <w:tcPr>
            <w:tcW w:type="dxa" w:w="2613"/>
            <w:vAlign w:val="top"/>
          </w:tcPr>
          <w:p>
            <w:r/>
            <w:r>
              <w:rPr>
                <w:b w:val="0"/>
                <w:sz w:val="17"/>
              </w:rPr>
              <w:t>Autocorrelation ESS min over ombh2, nnu, YHe, nuisance</w:t>
            </w:r>
          </w:p>
        </w:tc>
        <w:tc>
          <w:tcPr>
            <w:tcW w:type="dxa" w:w="2613"/>
            <w:vAlign w:val="top"/>
          </w:tcPr>
          <w:p>
            <w:r/>
            <w:r>
              <w:rPr>
                <w:b w:val="0"/>
                <w:sz w:val="17"/>
              </w:rPr>
              <w:t>&gt;= 1000</w:t>
            </w:r>
          </w:p>
        </w:tc>
        <w:tc>
          <w:tcPr>
            <w:tcW w:type="dxa" w:w="2613"/>
            <w:vAlign w:val="top"/>
          </w:tcPr>
          <w:p>
            <w:r/>
            <w:r>
              <w:rPr>
                <w:b w:val="0"/>
                <w:sz w:val="17"/>
              </w:rPr>
              <w:t>1449.0004</w:t>
            </w:r>
          </w:p>
        </w:tc>
        <w:tc>
          <w:tcPr>
            <w:tcW w:type="dxa" w:w="2613"/>
            <w:vAlign w:val="top"/>
          </w:tcPr>
          <w:p>
            <w:r/>
            <w:r>
              <w:rPr>
                <w:b w:val="0"/>
                <w:sz w:val="17"/>
              </w:rPr>
              <w:t>True</w:t>
            </w:r>
          </w:p>
        </w:tc>
      </w:tr>
      <w:tr>
        <w:tc>
          <w:tcPr>
            <w:tcW w:type="dxa" w:w="2613"/>
            <w:vAlign w:val="top"/>
          </w:tcPr>
          <w:p>
            <w:r/>
            <w:r>
              <w:rPr>
                <w:b w:val="0"/>
                <w:sz w:val="17"/>
              </w:rPr>
              <w:t>Registered lithium cell joint posterior density</w:t>
            </w:r>
          </w:p>
        </w:tc>
        <w:tc>
          <w:tcPr>
            <w:tcW w:type="dxa" w:w="2613"/>
            <w:vAlign w:val="top"/>
          </w:tcPr>
          <w:p>
            <w:r/>
            <w:r>
              <w:rPr>
                <w:b w:val="0"/>
                <w:sz w:val="17"/>
              </w:rPr>
              <w:t>delta-chi2 &lt;= 7.814728</w:t>
            </w:r>
          </w:p>
        </w:tc>
        <w:tc>
          <w:tcPr>
            <w:tcW w:type="dxa" w:w="2613"/>
            <w:vAlign w:val="top"/>
          </w:tcPr>
          <w:p>
            <w:r/>
            <w:r>
              <w:rPr>
                <w:b w:val="0"/>
                <w:sz w:val="17"/>
              </w:rPr>
              <w:t>1.2574</w:t>
            </w:r>
          </w:p>
        </w:tc>
        <w:tc>
          <w:tcPr>
            <w:tcW w:type="dxa" w:w="2613"/>
            <w:vAlign w:val="top"/>
          </w:tcPr>
          <w:p>
            <w:r/>
            <w:r>
              <w:rPr>
                <w:b w:val="0"/>
                <w:sz w:val="17"/>
              </w:rPr>
              <w:t>True</w:t>
            </w:r>
          </w:p>
        </w:tc>
      </w:tr>
      <w:tr>
        <w:tc>
          <w:tcPr>
            <w:tcW w:type="dxa" w:w="2613"/>
            <w:vAlign w:val="top"/>
          </w:tcPr>
          <w:p>
            <w:r/>
            <w:r>
              <w:rPr>
                <w:b w:val="0"/>
                <w:sz w:val="17"/>
              </w:rPr>
              <w:t>Nuisance split stability diagnostic</w:t>
            </w:r>
          </w:p>
        </w:tc>
        <w:tc>
          <w:tcPr>
            <w:tcW w:type="dxa" w:w="2613"/>
            <w:vAlign w:val="top"/>
          </w:tcPr>
          <w:p>
            <w:r/>
            <w:r>
              <w:rPr>
                <w:b w:val="0"/>
                <w:sz w:val="17"/>
              </w:rPr>
              <w:t>max split mean shift &lt;= 1 sigma</w:t>
            </w:r>
          </w:p>
        </w:tc>
        <w:tc>
          <w:tcPr>
            <w:tcW w:type="dxa" w:w="2613"/>
            <w:vAlign w:val="top"/>
          </w:tcPr>
          <w:p>
            <w:r/>
            <w:r>
              <w:rPr>
                <w:b w:val="0"/>
                <w:sz w:val="17"/>
              </w:rPr>
              <w:t>0.0838</w:t>
            </w:r>
          </w:p>
        </w:tc>
        <w:tc>
          <w:tcPr>
            <w:tcW w:type="dxa" w:w="2613"/>
            <w:vAlign w:val="top"/>
          </w:tcPr>
          <w:p>
            <w:r/>
            <w:r>
              <w:rPr>
                <w:b w:val="0"/>
                <w:sz w:val="17"/>
              </w:rPr>
              <w:t>True</w:t>
            </w:r>
          </w:p>
        </w:tc>
      </w:tr>
      <w:tr>
        <w:tc>
          <w:tcPr>
            <w:tcW w:type="dxa" w:w="2613"/>
            <w:vAlign w:val="top"/>
          </w:tcPr>
          <w:p>
            <w:r/>
            <w:r>
              <w:rPr>
                <w:b w:val="0"/>
                <w:sz w:val="17"/>
              </w:rPr>
              <w:t>First-half vs second-half stability diagnostic</w:t>
            </w:r>
          </w:p>
        </w:tc>
        <w:tc>
          <w:tcPr>
            <w:tcW w:type="dxa" w:w="2613"/>
            <w:vAlign w:val="top"/>
          </w:tcPr>
          <w:p>
            <w:r/>
            <w:r>
              <w:rPr>
                <w:b w:val="0"/>
                <w:sz w:val="17"/>
              </w:rPr>
              <w:t>max mean shift &lt;= 1 sigma</w:t>
            </w:r>
          </w:p>
        </w:tc>
        <w:tc>
          <w:tcPr>
            <w:tcW w:type="dxa" w:w="2613"/>
            <w:vAlign w:val="top"/>
          </w:tcPr>
          <w:p>
            <w:r/>
            <w:r>
              <w:rPr>
                <w:b w:val="0"/>
                <w:sz w:val="17"/>
              </w:rPr>
              <w:t>0.0926</w:t>
            </w:r>
          </w:p>
        </w:tc>
        <w:tc>
          <w:tcPr>
            <w:tcW w:type="dxa" w:w="2613"/>
            <w:vAlign w:val="top"/>
          </w:tcPr>
          <w:p>
            <w:r/>
            <w:r>
              <w:rPr>
                <w:b w:val="0"/>
                <w:sz w:val="17"/>
              </w:rPr>
              <w:t>True</w:t>
            </w:r>
          </w:p>
        </w:tc>
      </w:tr>
    </w:tbl>
    <w:p/>
    <w:p>
      <w:pPr>
        <w:pStyle w:val="Caption"/>
      </w:pPr>
      <w:r>
        <w:rPr>
          <w:b/>
        </w:rPr>
        <w:t>Table 5. Registered-cell posterior density</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Quantity</w:t>
            </w:r>
          </w:p>
        </w:tc>
        <w:tc>
          <w:tcPr>
            <w:tcW w:type="dxa" w:w="5227"/>
            <w:vAlign w:val="top"/>
            <w:shd w:fill="D9EAF7"/>
          </w:tcPr>
          <w:p>
            <w:r/>
            <w:r>
              <w:rPr>
                <w:b/>
                <w:sz w:val="17"/>
              </w:rPr>
              <w:t>Value</w:t>
            </w:r>
          </w:p>
        </w:tc>
      </w:tr>
      <w:tr>
        <w:tc>
          <w:tcPr>
            <w:tcW w:type="dxa" w:w="5227"/>
            <w:vAlign w:val="top"/>
          </w:tcPr>
          <w:p>
            <w:r/>
            <w:r>
              <w:rPr>
                <w:b w:val="0"/>
                <w:sz w:val="17"/>
              </w:rPr>
              <w:t>posterior mean eta10</w:t>
            </w:r>
          </w:p>
        </w:tc>
        <w:tc>
          <w:tcPr>
            <w:tcW w:type="dxa" w:w="5227"/>
            <w:vAlign w:val="top"/>
          </w:tcPr>
          <w:p>
            <w:r/>
            <w:r>
              <w:rPr>
                <w:b w:val="0"/>
                <w:sz w:val="17"/>
              </w:rPr>
              <w:t>6.074645</w:t>
            </w:r>
          </w:p>
        </w:tc>
      </w:tr>
      <w:tr>
        <w:tc>
          <w:tcPr>
            <w:tcW w:type="dxa" w:w="5227"/>
            <w:vAlign w:val="top"/>
          </w:tcPr>
          <w:p>
            <w:r/>
            <w:r>
              <w:rPr>
                <w:b w:val="0"/>
                <w:sz w:val="17"/>
              </w:rPr>
              <w:t>posterior mean N_eff</w:t>
            </w:r>
          </w:p>
        </w:tc>
        <w:tc>
          <w:tcPr>
            <w:tcW w:type="dxa" w:w="5227"/>
            <w:vAlign w:val="top"/>
          </w:tcPr>
          <w:p>
            <w:r/>
            <w:r>
              <w:rPr>
                <w:b w:val="0"/>
                <w:sz w:val="17"/>
              </w:rPr>
              <w:t>2.814036</w:t>
            </w:r>
          </w:p>
        </w:tc>
      </w:tr>
      <w:tr>
        <w:tc>
          <w:tcPr>
            <w:tcW w:type="dxa" w:w="5227"/>
            <w:vAlign w:val="top"/>
          </w:tcPr>
          <w:p>
            <w:r/>
            <w:r>
              <w:rPr>
                <w:b w:val="0"/>
                <w:sz w:val="17"/>
              </w:rPr>
              <w:t>posterior mean Y_p</w:t>
            </w:r>
          </w:p>
        </w:tc>
        <w:tc>
          <w:tcPr>
            <w:tcW w:type="dxa" w:w="5227"/>
            <w:vAlign w:val="top"/>
          </w:tcPr>
          <w:p>
            <w:r/>
            <w:r>
              <w:rPr>
                <w:b w:val="0"/>
                <w:sz w:val="17"/>
              </w:rPr>
              <w:t>0.262997</w:t>
            </w:r>
          </w:p>
        </w:tc>
      </w:tr>
      <w:tr>
        <w:tc>
          <w:tcPr>
            <w:tcW w:type="dxa" w:w="5227"/>
            <w:vAlign w:val="top"/>
          </w:tcPr>
          <w:p>
            <w:r/>
            <w:r>
              <w:rPr>
                <w:b w:val="0"/>
                <w:sz w:val="17"/>
              </w:rPr>
              <w:t>registered eta10</w:t>
            </w:r>
          </w:p>
        </w:tc>
        <w:tc>
          <w:tcPr>
            <w:tcW w:type="dxa" w:w="5227"/>
            <w:vAlign w:val="top"/>
          </w:tcPr>
          <w:p>
            <w:r/>
            <w:r>
              <w:rPr>
                <w:b w:val="0"/>
                <w:sz w:val="17"/>
              </w:rPr>
              <w:t>6.096365</w:t>
            </w:r>
          </w:p>
        </w:tc>
      </w:tr>
      <w:tr>
        <w:tc>
          <w:tcPr>
            <w:tcW w:type="dxa" w:w="5227"/>
            <w:vAlign w:val="top"/>
          </w:tcPr>
          <w:p>
            <w:r/>
            <w:r>
              <w:rPr>
                <w:b w:val="0"/>
                <w:sz w:val="17"/>
              </w:rPr>
              <w:t>registered N_eff</w:t>
            </w:r>
          </w:p>
        </w:tc>
        <w:tc>
          <w:tcPr>
            <w:tcW w:type="dxa" w:w="5227"/>
            <w:vAlign w:val="top"/>
          </w:tcPr>
          <w:p>
            <w:r/>
            <w:r>
              <w:rPr>
                <w:b w:val="0"/>
                <w:sz w:val="17"/>
              </w:rPr>
              <w:t>3.044709</w:t>
            </w:r>
          </w:p>
        </w:tc>
      </w:tr>
      <w:tr>
        <w:tc>
          <w:tcPr>
            <w:tcW w:type="dxa" w:w="5227"/>
            <w:vAlign w:val="top"/>
          </w:tcPr>
          <w:p>
            <w:r/>
            <w:r>
              <w:rPr>
                <w:b w:val="0"/>
                <w:sz w:val="17"/>
              </w:rPr>
              <w:t>registered Y_p</w:t>
            </w:r>
          </w:p>
        </w:tc>
        <w:tc>
          <w:tcPr>
            <w:tcW w:type="dxa" w:w="5227"/>
            <w:vAlign w:val="top"/>
          </w:tcPr>
          <w:p>
            <w:r/>
            <w:r>
              <w:rPr>
                <w:b w:val="0"/>
                <w:sz w:val="17"/>
              </w:rPr>
              <w:t>0.246733</w:t>
            </w:r>
          </w:p>
        </w:tc>
      </w:tr>
      <w:tr>
        <w:tc>
          <w:tcPr>
            <w:tcW w:type="dxa" w:w="5227"/>
            <w:vAlign w:val="top"/>
          </w:tcPr>
          <w:p>
            <w:r/>
            <w:r>
              <w:rPr>
                <w:b w:val="0"/>
                <w:sz w:val="17"/>
              </w:rPr>
              <w:t>registered Delta chi2</w:t>
            </w:r>
          </w:p>
        </w:tc>
        <w:tc>
          <w:tcPr>
            <w:tcW w:type="dxa" w:w="5227"/>
            <w:vAlign w:val="top"/>
          </w:tcPr>
          <w:p>
            <w:r/>
            <w:r>
              <w:rPr>
                <w:b w:val="0"/>
                <w:sz w:val="17"/>
              </w:rPr>
              <w:t>1.25743</w:t>
            </w:r>
          </w:p>
        </w:tc>
      </w:tr>
      <w:tr>
        <w:tc>
          <w:tcPr>
            <w:tcW w:type="dxa" w:w="5227"/>
            <w:vAlign w:val="top"/>
          </w:tcPr>
          <w:p>
            <w:r/>
            <w:r>
              <w:rPr>
                <w:b w:val="0"/>
                <w:sz w:val="17"/>
              </w:rPr>
              <w:t>Mahalanobis distance</w:t>
            </w:r>
          </w:p>
        </w:tc>
        <w:tc>
          <w:tcPr>
            <w:tcW w:type="dxa" w:w="5227"/>
            <w:vAlign w:val="top"/>
          </w:tcPr>
          <w:p>
            <w:r/>
            <w:r>
              <w:rPr>
                <w:b w:val="0"/>
                <w:sz w:val="17"/>
              </w:rPr>
              <w:t>1.121352</w:t>
            </w:r>
          </w:p>
        </w:tc>
      </w:tr>
      <w:tr>
        <w:tc>
          <w:tcPr>
            <w:tcW w:type="dxa" w:w="5227"/>
            <w:vAlign w:val="top"/>
          </w:tcPr>
          <w:p>
            <w:r/>
            <w:r>
              <w:rPr>
                <w:b w:val="0"/>
                <w:sz w:val="17"/>
              </w:rPr>
              <w:t>density ratio to posterior peak</w:t>
            </w:r>
          </w:p>
        </w:tc>
        <w:tc>
          <w:tcPr>
            <w:tcW w:type="dxa" w:w="5227"/>
            <w:vAlign w:val="top"/>
          </w:tcPr>
          <w:p>
            <w:r/>
            <w:r>
              <w:rPr>
                <w:b w:val="0"/>
                <w:sz w:val="17"/>
              </w:rPr>
              <w:t>0.533277</w:t>
            </w:r>
          </w:p>
        </w:tc>
      </w:tr>
      <w:tr>
        <w:tc>
          <w:tcPr>
            <w:tcW w:type="dxa" w:w="5227"/>
            <w:vAlign w:val="top"/>
          </w:tcPr>
          <w:p>
            <w:r/>
            <w:r>
              <w:rPr>
                <w:b w:val="0"/>
                <w:sz w:val="17"/>
              </w:rPr>
              <w:t>posterior mass inside equal-density contour</w:t>
            </w:r>
          </w:p>
        </w:tc>
        <w:tc>
          <w:tcPr>
            <w:tcW w:type="dxa" w:w="5227"/>
            <w:vAlign w:val="top"/>
          </w:tcPr>
          <w:p>
            <w:r/>
            <w:r>
              <w:rPr>
                <w:b w:val="0"/>
                <w:sz w:val="17"/>
              </w:rPr>
              <w:t>0.261374</w:t>
            </w:r>
          </w:p>
        </w:tc>
      </w:tr>
      <w:tr>
        <w:tc>
          <w:tcPr>
            <w:tcW w:type="dxa" w:w="5227"/>
            <w:vAlign w:val="top"/>
          </w:tcPr>
          <w:p>
            <w:r/>
            <w:r>
              <w:rPr>
                <w:b w:val="0"/>
                <w:sz w:val="17"/>
              </w:rPr>
              <w:t>joint 95 gate pass</w:t>
            </w:r>
          </w:p>
        </w:tc>
        <w:tc>
          <w:tcPr>
            <w:tcW w:type="dxa" w:w="5227"/>
            <w:vAlign w:val="top"/>
          </w:tcPr>
          <w:p>
            <w:r/>
            <w:r>
              <w:rPr>
                <w:b w:val="0"/>
                <w:sz w:val="17"/>
              </w:rPr>
              <w:t>True</w:t>
            </w:r>
          </w:p>
        </w:tc>
      </w:tr>
      <w:tr>
        <w:tc>
          <w:tcPr>
            <w:tcW w:type="dxa" w:w="5227"/>
            <w:vAlign w:val="top"/>
          </w:tcPr>
          <w:p>
            <w:r/>
            <w:r>
              <w:rPr>
                <w:b w:val="0"/>
                <w:sz w:val="17"/>
              </w:rPr>
              <w:t>weighted kNN density ratio</w:t>
            </w:r>
          </w:p>
        </w:tc>
        <w:tc>
          <w:tcPr>
            <w:tcW w:type="dxa" w:w="5227"/>
            <w:vAlign w:val="top"/>
          </w:tcPr>
          <w:p>
            <w:r/>
            <w:r>
              <w:rPr>
                <w:b w:val="0"/>
                <w:sz w:val="17"/>
              </w:rPr>
              <w:t>0.601247</w:t>
            </w:r>
          </w:p>
        </w:tc>
      </w:tr>
    </w:tbl>
    <w:p/>
    <w:p>
      <w:pPr>
        <w:pStyle w:val="Caption"/>
      </w:pPr>
      <w:r>
        <w:rPr>
          <w:b/>
        </w:rPr>
        <w:t>Table 6. CMB posterior summary</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vAlign w:val="top"/>
            <w:shd w:fill="D9EAF7"/>
          </w:tcPr>
          <w:p>
            <w:r/>
            <w:r>
              <w:rPr>
                <w:b/>
                <w:sz w:val="17"/>
              </w:rPr>
              <w:t>Parameter</w:t>
            </w:r>
          </w:p>
        </w:tc>
        <w:tc>
          <w:tcPr>
            <w:tcW w:type="dxa" w:w="1742"/>
            <w:vAlign w:val="top"/>
            <w:shd w:fill="D9EAF7"/>
          </w:tcPr>
          <w:p>
            <w:r/>
            <w:r>
              <w:rPr>
                <w:b/>
                <w:sz w:val="17"/>
              </w:rPr>
              <w:t>Mean</w:t>
            </w:r>
          </w:p>
        </w:tc>
        <w:tc>
          <w:tcPr>
            <w:tcW w:type="dxa" w:w="1742"/>
            <w:vAlign w:val="top"/>
            <w:shd w:fill="D9EAF7"/>
          </w:tcPr>
          <w:p>
            <w:r/>
            <w:r>
              <w:rPr>
                <w:b/>
                <w:sz w:val="17"/>
              </w:rPr>
              <w:t>Std</w:t>
            </w:r>
          </w:p>
        </w:tc>
        <w:tc>
          <w:tcPr>
            <w:tcW w:type="dxa" w:w="1742"/>
            <w:vAlign w:val="top"/>
            <w:shd w:fill="D9EAF7"/>
          </w:tcPr>
          <w:p>
            <w:r/>
            <w:r>
              <w:rPr>
                <w:b/>
                <w:sz w:val="17"/>
              </w:rPr>
              <w:t>Median</w:t>
            </w:r>
          </w:p>
        </w:tc>
        <w:tc>
          <w:tcPr>
            <w:tcW w:type="dxa" w:w="1742"/>
            <w:vAlign w:val="top"/>
            <w:shd w:fill="D9EAF7"/>
          </w:tcPr>
          <w:p>
            <w:r/>
            <w:r>
              <w:rPr>
                <w:b/>
                <w:sz w:val="17"/>
              </w:rPr>
              <w:t>68% interval</w:t>
            </w:r>
          </w:p>
        </w:tc>
        <w:tc>
          <w:tcPr>
            <w:tcW w:type="dxa" w:w="1742"/>
            <w:vAlign w:val="top"/>
            <w:shd w:fill="D9EAF7"/>
          </w:tcPr>
          <w:p>
            <w:r/>
            <w:r>
              <w:rPr>
                <w:b/>
                <w:sz w:val="17"/>
              </w:rPr>
              <w:t>95% interval</w:t>
            </w:r>
          </w:p>
        </w:tc>
      </w:tr>
      <w:tr>
        <w:tc>
          <w:tcPr>
            <w:tcW w:type="dxa" w:w="1742"/>
            <w:vAlign w:val="top"/>
          </w:tcPr>
          <w:p>
            <w:r/>
            <w:r>
              <w:rPr>
                <w:b w:val="0"/>
                <w:sz w:val="17"/>
              </w:rPr>
              <w:t>ombh2</w:t>
            </w:r>
          </w:p>
        </w:tc>
        <w:tc>
          <w:tcPr>
            <w:tcW w:type="dxa" w:w="1742"/>
            <w:vAlign w:val="top"/>
          </w:tcPr>
          <w:p>
            <w:r/>
            <w:r>
              <w:rPr>
                <w:b w:val="0"/>
                <w:sz w:val="17"/>
              </w:rPr>
              <w:t>0.02219</w:t>
            </w:r>
          </w:p>
        </w:tc>
        <w:tc>
          <w:tcPr>
            <w:tcW w:type="dxa" w:w="1742"/>
            <w:vAlign w:val="top"/>
          </w:tcPr>
          <w:p>
            <w:r/>
            <w:r>
              <w:rPr>
                <w:b w:val="0"/>
                <w:sz w:val="17"/>
              </w:rPr>
              <w:t>1.9507e-04</w:t>
            </w:r>
          </w:p>
        </w:tc>
        <w:tc>
          <w:tcPr>
            <w:tcW w:type="dxa" w:w="1742"/>
            <w:vAlign w:val="top"/>
          </w:tcPr>
          <w:p>
            <w:r/>
            <w:r>
              <w:rPr>
                <w:b w:val="0"/>
                <w:sz w:val="17"/>
              </w:rPr>
              <w:t>0.02219</w:t>
            </w:r>
          </w:p>
        </w:tc>
        <w:tc>
          <w:tcPr>
            <w:tcW w:type="dxa" w:w="1742"/>
            <w:vAlign w:val="top"/>
          </w:tcPr>
          <w:p>
            <w:r/>
            <w:r>
              <w:rPr>
                <w:b w:val="0"/>
                <w:sz w:val="17"/>
              </w:rPr>
              <w:t>0.021995 to 0.022381</w:t>
            </w:r>
          </w:p>
        </w:tc>
        <w:tc>
          <w:tcPr>
            <w:tcW w:type="dxa" w:w="1742"/>
            <w:vAlign w:val="top"/>
          </w:tcPr>
          <w:p>
            <w:r/>
            <w:r>
              <w:rPr>
                <w:b w:val="0"/>
                <w:sz w:val="17"/>
              </w:rPr>
              <w:t>0.021809 to 0.022573</w:t>
            </w:r>
          </w:p>
        </w:tc>
      </w:tr>
      <w:tr>
        <w:tc>
          <w:tcPr>
            <w:tcW w:type="dxa" w:w="1742"/>
            <w:vAlign w:val="top"/>
          </w:tcPr>
          <w:p>
            <w:r/>
            <w:r>
              <w:rPr>
                <w:b w:val="0"/>
                <w:sz w:val="17"/>
              </w:rPr>
              <w:t>nnu</w:t>
            </w:r>
          </w:p>
        </w:tc>
        <w:tc>
          <w:tcPr>
            <w:tcW w:type="dxa" w:w="1742"/>
            <w:vAlign w:val="top"/>
          </w:tcPr>
          <w:p>
            <w:r/>
            <w:r>
              <w:rPr>
                <w:b w:val="0"/>
                <w:sz w:val="17"/>
              </w:rPr>
              <w:t>2.81855</w:t>
            </w:r>
          </w:p>
        </w:tc>
        <w:tc>
          <w:tcPr>
            <w:tcW w:type="dxa" w:w="1742"/>
            <w:vAlign w:val="top"/>
          </w:tcPr>
          <w:p>
            <w:r/>
            <w:r>
              <w:rPr>
                <w:b w:val="0"/>
                <w:sz w:val="17"/>
              </w:rPr>
              <w:t>0.2532</w:t>
            </w:r>
          </w:p>
        </w:tc>
        <w:tc>
          <w:tcPr>
            <w:tcW w:type="dxa" w:w="1742"/>
            <w:vAlign w:val="top"/>
          </w:tcPr>
          <w:p>
            <w:r/>
            <w:r>
              <w:rPr>
                <w:b w:val="0"/>
                <w:sz w:val="17"/>
              </w:rPr>
              <w:t>2.81194</w:t>
            </w:r>
          </w:p>
        </w:tc>
        <w:tc>
          <w:tcPr>
            <w:tcW w:type="dxa" w:w="1742"/>
            <w:vAlign w:val="top"/>
          </w:tcPr>
          <w:p>
            <w:r/>
            <w:r>
              <w:rPr>
                <w:b w:val="0"/>
                <w:sz w:val="17"/>
              </w:rPr>
              <w:t>2.569554 to 3.062147</w:t>
            </w:r>
          </w:p>
        </w:tc>
        <w:tc>
          <w:tcPr>
            <w:tcW w:type="dxa" w:w="1742"/>
            <w:vAlign w:val="top"/>
          </w:tcPr>
          <w:p>
            <w:r/>
            <w:r>
              <w:rPr>
                <w:b w:val="0"/>
                <w:sz w:val="17"/>
              </w:rPr>
              <w:t>2.343549 to 3.327882</w:t>
            </w:r>
          </w:p>
        </w:tc>
      </w:tr>
      <w:tr>
        <w:tc>
          <w:tcPr>
            <w:tcW w:type="dxa" w:w="1742"/>
            <w:vAlign w:val="top"/>
          </w:tcPr>
          <w:p>
            <w:r/>
            <w:r>
              <w:rPr>
                <w:b w:val="0"/>
                <w:sz w:val="17"/>
              </w:rPr>
              <w:t>YHe</w:t>
            </w:r>
          </w:p>
        </w:tc>
        <w:tc>
          <w:tcPr>
            <w:tcW w:type="dxa" w:w="1742"/>
            <w:vAlign w:val="top"/>
          </w:tcPr>
          <w:p>
            <w:r/>
            <w:r>
              <w:rPr>
                <w:b w:val="0"/>
                <w:sz w:val="17"/>
              </w:rPr>
              <w:t>0.262427</w:t>
            </w:r>
          </w:p>
        </w:tc>
        <w:tc>
          <w:tcPr>
            <w:tcW w:type="dxa" w:w="1742"/>
            <w:vAlign w:val="top"/>
          </w:tcPr>
          <w:p>
            <w:r/>
            <w:r>
              <w:rPr>
                <w:b w:val="0"/>
                <w:sz w:val="17"/>
              </w:rPr>
              <w:t>0.0186</w:t>
            </w:r>
          </w:p>
        </w:tc>
        <w:tc>
          <w:tcPr>
            <w:tcW w:type="dxa" w:w="1742"/>
            <w:vAlign w:val="top"/>
          </w:tcPr>
          <w:p>
            <w:r/>
            <w:r>
              <w:rPr>
                <w:b w:val="0"/>
                <w:sz w:val="17"/>
              </w:rPr>
              <w:t>0.262668</w:t>
            </w:r>
          </w:p>
        </w:tc>
        <w:tc>
          <w:tcPr>
            <w:tcW w:type="dxa" w:w="1742"/>
            <w:vAlign w:val="top"/>
          </w:tcPr>
          <w:p>
            <w:r/>
            <w:r>
              <w:rPr>
                <w:b w:val="0"/>
                <w:sz w:val="17"/>
              </w:rPr>
              <w:t>0.244057 to 0.280933</w:t>
            </w:r>
          </w:p>
        </w:tc>
        <w:tc>
          <w:tcPr>
            <w:tcW w:type="dxa" w:w="1742"/>
            <w:vAlign w:val="top"/>
          </w:tcPr>
          <w:p>
            <w:r/>
            <w:r>
              <w:rPr>
                <w:b w:val="0"/>
                <w:sz w:val="17"/>
              </w:rPr>
              <w:t>0.225078 to 0.298364</w:t>
            </w:r>
          </w:p>
        </w:tc>
      </w:tr>
      <w:tr>
        <w:tc>
          <w:tcPr>
            <w:tcW w:type="dxa" w:w="1742"/>
            <w:vAlign w:val="top"/>
          </w:tcPr>
          <w:p>
            <w:r/>
            <w:r>
              <w:rPr>
                <w:b w:val="0"/>
                <w:sz w:val="17"/>
              </w:rPr>
              <w:t>eta10</w:t>
            </w:r>
          </w:p>
        </w:tc>
        <w:tc>
          <w:tcPr>
            <w:tcW w:type="dxa" w:w="1742"/>
            <w:vAlign w:val="top"/>
          </w:tcPr>
          <w:p>
            <w:r/>
            <w:r>
              <w:rPr>
                <w:b w:val="0"/>
                <w:sz w:val="17"/>
              </w:rPr>
              <w:t>6.075084</w:t>
            </w:r>
          </w:p>
        </w:tc>
        <w:tc>
          <w:tcPr>
            <w:tcW w:type="dxa" w:w="1742"/>
            <w:vAlign w:val="top"/>
          </w:tcPr>
          <w:p>
            <w:r/>
            <w:r>
              <w:rPr>
                <w:b w:val="0"/>
                <w:sz w:val="17"/>
              </w:rPr>
              <w:t>0.0534</w:t>
            </w:r>
          </w:p>
        </w:tc>
        <w:tc>
          <w:tcPr>
            <w:tcW w:type="dxa" w:w="1742"/>
            <w:vAlign w:val="top"/>
          </w:tcPr>
          <w:p>
            <w:r/>
            <w:r>
              <w:rPr>
                <w:b w:val="0"/>
                <w:sz w:val="17"/>
              </w:rPr>
              <w:t>6.075231</w:t>
            </w:r>
          </w:p>
        </w:tc>
        <w:tc>
          <w:tcPr>
            <w:tcW w:type="dxa" w:w="1742"/>
            <w:vAlign w:val="top"/>
          </w:tcPr>
          <w:p>
            <w:r/>
            <w:r>
              <w:rPr>
                <w:b w:val="0"/>
                <w:sz w:val="17"/>
              </w:rPr>
              <w:t>6.021877 to 6.127459</w:t>
            </w:r>
          </w:p>
        </w:tc>
        <w:tc>
          <w:tcPr>
            <w:tcW w:type="dxa" w:w="1742"/>
            <w:vAlign w:val="top"/>
          </w:tcPr>
          <w:p>
            <w:r/>
            <w:r>
              <w:rPr>
                <w:b w:val="0"/>
                <w:sz w:val="17"/>
              </w:rPr>
              <w:t>5.97098 to 6.179927</w:t>
            </w:r>
          </w:p>
        </w:tc>
      </w:tr>
      <w:tr>
        <w:tc>
          <w:tcPr>
            <w:tcW w:type="dxa" w:w="1742"/>
            <w:vAlign w:val="top"/>
          </w:tcPr>
          <w:p>
            <w:r/>
            <w:r>
              <w:rPr>
                <w:b w:val="0"/>
                <w:sz w:val="17"/>
              </w:rPr>
              <w:t>H0</w:t>
            </w:r>
          </w:p>
        </w:tc>
        <w:tc>
          <w:tcPr>
            <w:tcW w:type="dxa" w:w="1742"/>
            <w:vAlign w:val="top"/>
          </w:tcPr>
          <w:p>
            <w:r/>
            <w:r>
              <w:rPr>
                <w:b w:val="0"/>
                <w:sz w:val="17"/>
              </w:rPr>
              <w:t>66.210921</w:t>
            </w:r>
          </w:p>
        </w:tc>
        <w:tc>
          <w:tcPr>
            <w:tcW w:type="dxa" w:w="1742"/>
            <w:vAlign w:val="top"/>
          </w:tcPr>
          <w:p>
            <w:r/>
            <w:r>
              <w:rPr>
                <w:b w:val="0"/>
                <w:sz w:val="17"/>
              </w:rPr>
              <w:t>1.5058</w:t>
            </w:r>
          </w:p>
        </w:tc>
        <w:tc>
          <w:tcPr>
            <w:tcW w:type="dxa" w:w="1742"/>
            <w:vAlign w:val="top"/>
          </w:tcPr>
          <w:p>
            <w:r/>
            <w:r>
              <w:rPr>
                <w:b w:val="0"/>
                <w:sz w:val="17"/>
              </w:rPr>
              <w:t>66.164438</w:t>
            </w:r>
          </w:p>
        </w:tc>
        <w:tc>
          <w:tcPr>
            <w:tcW w:type="dxa" w:w="1742"/>
            <w:vAlign w:val="top"/>
          </w:tcPr>
          <w:p>
            <w:r/>
            <w:r>
              <w:rPr>
                <w:b w:val="0"/>
                <w:sz w:val="17"/>
              </w:rPr>
              <w:t>64.706901 to 67.68329</w:t>
            </w:r>
          </w:p>
        </w:tc>
        <w:tc>
          <w:tcPr>
            <w:tcW w:type="dxa" w:w="1742"/>
            <w:vAlign w:val="top"/>
          </w:tcPr>
          <w:p>
            <w:r/>
            <w:r>
              <w:rPr>
                <w:b w:val="0"/>
                <w:sz w:val="17"/>
              </w:rPr>
              <w:t>63.421067 to 69.23348</w:t>
            </w:r>
          </w:p>
        </w:tc>
      </w:tr>
      <w:tr>
        <w:tc>
          <w:tcPr>
            <w:tcW w:type="dxa" w:w="1742"/>
            <w:vAlign w:val="top"/>
          </w:tcPr>
          <w:p>
            <w:r/>
            <w:r>
              <w:rPr>
                <w:b w:val="0"/>
                <w:sz w:val="17"/>
              </w:rPr>
              <w:t>omegam</w:t>
            </w:r>
          </w:p>
        </w:tc>
        <w:tc>
          <w:tcPr>
            <w:tcW w:type="dxa" w:w="1742"/>
            <w:vAlign w:val="top"/>
          </w:tcPr>
          <w:p>
            <w:r/>
            <w:r>
              <w:rPr>
                <w:b w:val="0"/>
                <w:sz w:val="17"/>
              </w:rPr>
              <w:t>0.31734</w:t>
            </w:r>
          </w:p>
        </w:tc>
        <w:tc>
          <w:tcPr>
            <w:tcW w:type="dxa" w:w="1742"/>
            <w:vAlign w:val="top"/>
          </w:tcPr>
          <w:p>
            <w:r/>
            <w:r>
              <w:rPr>
                <w:b w:val="0"/>
                <w:sz w:val="17"/>
              </w:rPr>
              <w:t>0.0087</w:t>
            </w:r>
          </w:p>
        </w:tc>
        <w:tc>
          <w:tcPr>
            <w:tcW w:type="dxa" w:w="1742"/>
            <w:vAlign w:val="top"/>
          </w:tcPr>
          <w:p>
            <w:r/>
            <w:r>
              <w:rPr>
                <w:b w:val="0"/>
                <w:sz w:val="17"/>
              </w:rPr>
              <w:t>0.317346</w:t>
            </w:r>
          </w:p>
        </w:tc>
        <w:tc>
          <w:tcPr>
            <w:tcW w:type="dxa" w:w="1742"/>
            <w:vAlign w:val="top"/>
          </w:tcPr>
          <w:p>
            <w:r/>
            <w:r>
              <w:rPr>
                <w:b w:val="0"/>
                <w:sz w:val="17"/>
              </w:rPr>
              <w:t>0.308729 to 0.326008</w:t>
            </w:r>
          </w:p>
        </w:tc>
        <w:tc>
          <w:tcPr>
            <w:tcW w:type="dxa" w:w="1742"/>
            <w:vAlign w:val="top"/>
          </w:tcPr>
          <w:p>
            <w:r/>
            <w:r>
              <w:rPr>
                <w:b w:val="0"/>
                <w:sz w:val="17"/>
              </w:rPr>
              <w:t>0.300514 to 0.334223</w:t>
            </w:r>
          </w:p>
        </w:tc>
      </w:tr>
      <w:tr>
        <w:tc>
          <w:tcPr>
            <w:tcW w:type="dxa" w:w="1742"/>
            <w:vAlign w:val="top"/>
          </w:tcPr>
          <w:p>
            <w:r/>
            <w:r>
              <w:rPr>
                <w:b w:val="0"/>
                <w:sz w:val="17"/>
              </w:rPr>
              <w:t>sigma8</w:t>
            </w:r>
          </w:p>
        </w:tc>
        <w:tc>
          <w:tcPr>
            <w:tcW w:type="dxa" w:w="1742"/>
            <w:vAlign w:val="top"/>
          </w:tcPr>
          <w:p>
            <w:r/>
            <w:r>
              <w:rPr>
                <w:b w:val="0"/>
                <w:sz w:val="17"/>
              </w:rPr>
              <w:t>0.803256</w:t>
            </w:r>
          </w:p>
        </w:tc>
        <w:tc>
          <w:tcPr>
            <w:tcW w:type="dxa" w:w="1742"/>
            <w:vAlign w:val="top"/>
          </w:tcPr>
          <w:p>
            <w:r/>
            <w:r>
              <w:rPr>
                <w:b w:val="0"/>
                <w:sz w:val="17"/>
              </w:rPr>
              <w:t>0.0095</w:t>
            </w:r>
          </w:p>
        </w:tc>
        <w:tc>
          <w:tcPr>
            <w:tcW w:type="dxa" w:w="1742"/>
            <w:vAlign w:val="top"/>
          </w:tcPr>
          <w:p>
            <w:r/>
            <w:r>
              <w:rPr>
                <w:b w:val="0"/>
                <w:sz w:val="17"/>
              </w:rPr>
              <w:t>0.803151</w:t>
            </w:r>
          </w:p>
        </w:tc>
        <w:tc>
          <w:tcPr>
            <w:tcW w:type="dxa" w:w="1742"/>
            <w:vAlign w:val="top"/>
          </w:tcPr>
          <w:p>
            <w:r/>
            <w:r>
              <w:rPr>
                <w:b w:val="0"/>
                <w:sz w:val="17"/>
              </w:rPr>
              <w:t>0.793847 to 0.812604</w:t>
            </w:r>
          </w:p>
        </w:tc>
        <w:tc>
          <w:tcPr>
            <w:tcW w:type="dxa" w:w="1742"/>
            <w:vAlign w:val="top"/>
          </w:tcPr>
          <w:p>
            <w:r/>
            <w:r>
              <w:rPr>
                <w:b w:val="0"/>
                <w:sz w:val="17"/>
              </w:rPr>
              <w:t>0.784934 to 0.822145</w:t>
            </w:r>
          </w:p>
        </w:tc>
      </w:tr>
      <w:tr>
        <w:tc>
          <w:tcPr>
            <w:tcW w:type="dxa" w:w="1742"/>
            <w:vAlign w:val="top"/>
          </w:tcPr>
          <w:p>
            <w:r/>
            <w:r>
              <w:rPr>
                <w:b w:val="0"/>
                <w:sz w:val="17"/>
              </w:rPr>
              <w:t>S8</w:t>
            </w:r>
          </w:p>
        </w:tc>
        <w:tc>
          <w:tcPr>
            <w:tcW w:type="dxa" w:w="1742"/>
            <w:vAlign w:val="top"/>
          </w:tcPr>
          <w:p>
            <w:r/>
            <w:r>
              <w:rPr>
                <w:b w:val="0"/>
                <w:sz w:val="17"/>
              </w:rPr>
              <w:t>0.826006</w:t>
            </w:r>
          </w:p>
        </w:tc>
        <w:tc>
          <w:tcPr>
            <w:tcW w:type="dxa" w:w="1742"/>
            <w:vAlign w:val="top"/>
          </w:tcPr>
          <w:p>
            <w:r/>
            <w:r>
              <w:rPr>
                <w:b w:val="0"/>
                <w:sz w:val="17"/>
              </w:rPr>
              <w:t>0.0111</w:t>
            </w:r>
          </w:p>
        </w:tc>
        <w:tc>
          <w:tcPr>
            <w:tcW w:type="dxa" w:w="1742"/>
            <w:vAlign w:val="top"/>
          </w:tcPr>
          <w:p>
            <w:r/>
            <w:r>
              <w:rPr>
                <w:b w:val="0"/>
                <w:sz w:val="17"/>
              </w:rPr>
              <w:t>0.826026</w:t>
            </w:r>
          </w:p>
        </w:tc>
        <w:tc>
          <w:tcPr>
            <w:tcW w:type="dxa" w:w="1742"/>
            <w:vAlign w:val="top"/>
          </w:tcPr>
          <w:p>
            <w:r/>
            <w:r>
              <w:rPr>
                <w:b w:val="0"/>
                <w:sz w:val="17"/>
              </w:rPr>
              <w:t>0.814952 to 0.837015</w:t>
            </w:r>
          </w:p>
        </w:tc>
        <w:tc>
          <w:tcPr>
            <w:tcW w:type="dxa" w:w="1742"/>
            <w:vAlign w:val="top"/>
          </w:tcPr>
          <w:p>
            <w:r/>
            <w:r>
              <w:rPr>
                <w:b w:val="0"/>
                <w:sz w:val="17"/>
              </w:rPr>
              <w:t>0.804369 to 0.847849</w:t>
            </w:r>
          </w:p>
        </w:tc>
      </w:tr>
      <w:tr>
        <w:tc>
          <w:tcPr>
            <w:tcW w:type="dxa" w:w="1742"/>
            <w:vAlign w:val="top"/>
          </w:tcPr>
          <w:p>
            <w:r/>
            <w:r>
              <w:rPr>
                <w:b w:val="0"/>
                <w:sz w:val="17"/>
              </w:rPr>
              <w:t>chi2__CMB</w:t>
            </w:r>
          </w:p>
        </w:tc>
        <w:tc>
          <w:tcPr>
            <w:tcW w:type="dxa" w:w="1742"/>
            <w:vAlign w:val="top"/>
          </w:tcPr>
          <w:p>
            <w:r/>
            <w:r>
              <w:rPr>
                <w:b w:val="0"/>
                <w:sz w:val="17"/>
              </w:rPr>
              <w:t>10984.919918</w:t>
            </w:r>
          </w:p>
        </w:tc>
        <w:tc>
          <w:tcPr>
            <w:tcW w:type="dxa" w:w="1742"/>
            <w:vAlign w:val="top"/>
          </w:tcPr>
          <w:p>
            <w:r/>
            <w:r>
              <w:rPr>
                <w:b w:val="0"/>
                <w:sz w:val="17"/>
              </w:rPr>
              <w:t>7.9961</w:t>
            </w:r>
          </w:p>
        </w:tc>
        <w:tc>
          <w:tcPr>
            <w:tcW w:type="dxa" w:w="1742"/>
            <w:vAlign w:val="top"/>
          </w:tcPr>
          <w:p>
            <w:r/>
            <w:r>
              <w:rPr>
                <w:b w:val="0"/>
                <w:sz w:val="17"/>
              </w:rPr>
              <w:t>10984.146</w:t>
            </w:r>
          </w:p>
        </w:tc>
        <w:tc>
          <w:tcPr>
            <w:tcW w:type="dxa" w:w="1742"/>
            <w:vAlign w:val="top"/>
          </w:tcPr>
          <w:p>
            <w:r/>
            <w:r>
              <w:rPr>
                <w:b w:val="0"/>
                <w:sz w:val="17"/>
              </w:rPr>
              <w:t>10979.26564 to 10990.31448</w:t>
            </w:r>
          </w:p>
        </w:tc>
        <w:tc>
          <w:tcPr>
            <w:tcW w:type="dxa" w:w="1742"/>
            <w:vAlign w:val="top"/>
          </w:tcPr>
          <w:p>
            <w:r/>
            <w:r>
              <w:rPr>
                <w:b w:val="0"/>
                <w:sz w:val="17"/>
              </w:rPr>
              <w:t>10975.553 to 10997.627775</w:t>
            </w:r>
          </w:p>
        </w:tc>
      </w:tr>
    </w:tbl>
    <w:p/>
    <w:p>
      <w:r>
        <w:drawing>
          <wp:inline xmlns:a="http://schemas.openxmlformats.org/drawingml/2006/main" xmlns:pic="http://schemas.openxmlformats.org/drawingml/2006/picture">
            <wp:extent cx="6126480" cy="3770142"/>
            <wp:docPr id="1" name="Picture 1"/>
            <wp:cNvGraphicFramePr>
              <a:graphicFrameLocks noChangeAspect="1"/>
            </wp:cNvGraphicFramePr>
            <a:graphic>
              <a:graphicData uri="http://schemas.openxmlformats.org/drawingml/2006/picture">
                <pic:pic>
                  <pic:nvPicPr>
                    <pic:cNvPr id="0" name="planck_pr4_full_nuisance_audit_gates.png"/>
                    <pic:cNvPicPr/>
                  </pic:nvPicPr>
                  <pic:blipFill>
                    <a:blip r:embed="rId9"/>
                    <a:stretch>
                      <a:fillRect/>
                    </a:stretch>
                  </pic:blipFill>
                  <pic:spPr>
                    <a:xfrm>
                      <a:off x="0" y="0"/>
                      <a:ext cx="6126480" cy="3770142"/>
                    </a:xfrm>
                    <a:prstGeom prst="rect"/>
                  </pic:spPr>
                </pic:pic>
              </a:graphicData>
            </a:graphic>
          </wp:inline>
        </w:drawing>
      </w:r>
    </w:p>
    <w:p>
      <w:pPr>
        <w:pStyle w:val="Caption"/>
      </w:pPr>
      <w:r>
        <w:t>Figure 1. Combined main plus ESS top-up qualification gates.</w:t>
      </w:r>
    </w:p>
    <w:p>
      <w:pPr>
        <w:pStyle w:val="Caption"/>
      </w:pPr>
      <w:r>
        <w:rPr>
          <w:b/>
        </w:rPr>
        <w:t>TV index</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Traceability item</w:t>
            </w:r>
          </w:p>
        </w:tc>
        <w:tc>
          <w:tcPr>
            <w:tcW w:type="dxa" w:w="5227"/>
            <w:vAlign w:val="top"/>
            <w:shd w:fill="D9EAF7"/>
          </w:tcPr>
          <w:p>
            <w:r/>
            <w:r>
              <w:rPr>
                <w:b/>
                <w:sz w:val="17"/>
              </w:rPr>
              <w:t>Recorded value</w:t>
            </w:r>
          </w:p>
        </w:tc>
      </w:tr>
      <w:tr>
        <w:tc>
          <w:tcPr>
            <w:tcW w:type="dxa" w:w="5227"/>
            <w:vAlign w:val="top"/>
          </w:tcPr>
          <w:p>
            <w:r/>
            <w:r>
              <w:rPr>
                <w:b w:val="0"/>
                <w:sz w:val="17"/>
              </w:rPr>
              <w:t>Stage</w:t>
            </w:r>
          </w:p>
        </w:tc>
        <w:tc>
          <w:tcPr>
            <w:tcW w:type="dxa" w:w="5227"/>
            <w:vAlign w:val="top"/>
          </w:tcPr>
          <w:p>
            <w:r/>
            <w:r>
              <w:rPr>
                <w:b w:val="0"/>
                <w:sz w:val="17"/>
              </w:rPr>
              <w:t>September 11, 2026.</w:t>
            </w:r>
          </w:p>
        </w:tc>
      </w:tr>
      <w:tr>
        <w:tc>
          <w:tcPr>
            <w:tcW w:type="dxa" w:w="5227"/>
            <w:vAlign w:val="top"/>
          </w:tcPr>
          <w:p>
            <w:r/>
            <w:r>
              <w:rPr>
                <w:b w:val="0"/>
                <w:sz w:val="17"/>
              </w:rPr>
              <w:t>Combined chain size</w:t>
            </w:r>
          </w:p>
        </w:tc>
        <w:tc>
          <w:tcPr>
            <w:tcW w:type="dxa" w:w="5227"/>
            <w:vAlign w:val="top"/>
          </w:tcPr>
          <w:p>
            <w:r/>
            <w:r>
              <w:rPr>
                <w:b w:val="0"/>
                <w:sz w:val="17"/>
              </w:rPr>
              <w:t>120073 compressed rows; raw weight sum 393272.</w:t>
            </w:r>
          </w:p>
        </w:tc>
      </w:tr>
      <w:tr>
        <w:tc>
          <w:tcPr>
            <w:tcW w:type="dxa" w:w="5227"/>
            <w:vAlign w:val="top"/>
          </w:tcPr>
          <w:p>
            <w:r/>
            <w:r>
              <w:rPr>
                <w:b w:val="0"/>
                <w:sz w:val="17"/>
              </w:rPr>
              <w:t>Gate outcome</w:t>
            </w:r>
          </w:p>
        </w:tc>
        <w:tc>
          <w:tcPr>
            <w:tcW w:type="dxa" w:w="5227"/>
            <w:vAlign w:val="top"/>
          </w:tcPr>
          <w:p>
            <w:r/>
            <w:r>
              <w:rPr>
                <w:b w:val="0"/>
                <w:sz w:val="17"/>
              </w:rPr>
              <w:t>PASS on all preregistered gates.</w:t>
            </w:r>
          </w:p>
        </w:tc>
      </w:tr>
      <w:tr>
        <w:tc>
          <w:tcPr>
            <w:tcW w:type="dxa" w:w="5227"/>
            <w:vAlign w:val="top"/>
          </w:tcPr>
          <w:p>
            <w:r/>
            <w:r>
              <w:rPr>
                <w:b w:val="0"/>
                <w:sz w:val="17"/>
              </w:rPr>
              <w:t>Most conservative ESS</w:t>
            </w:r>
          </w:p>
        </w:tc>
        <w:tc>
          <w:tcPr>
            <w:tcW w:type="dxa" w:w="5227"/>
            <w:vAlign w:val="top"/>
          </w:tcPr>
          <w:p>
            <w:r/>
            <w:r>
              <w:rPr>
                <w:b w:val="0"/>
                <w:sz w:val="17"/>
              </w:rPr>
              <w:t>1449 for amp_143x217 among audited gate parameters.</w:t>
            </w:r>
          </w:p>
        </w:tc>
      </w:tr>
    </w:tbl>
    <w:p/>
    <w:p>
      <w:pPr>
        <w:pStyle w:val="Heading1"/>
      </w:pPr>
      <w:r>
        <w:t>4. Discussion</w:t>
      </w:r>
    </w:p>
    <w:p>
      <w:r>
        <w:t>The September audit changes the evidence state but not the claim boundary. It demonstrates that the registered lithium candidate is compatible with the detailed Planck CMB nuisance posterior under the applied gates. It does not show that the mediator is realised in nature, nor that the calculated transfer is stable under every possible plasma correction.</w:t>
      </w:r>
    </w:p>
    <w:p>
      <w:r>
        <w:t>The candidate is promising because it respects the selectivity demanded by the lithium problem. It is risky because narrow electromagnetic windows and late-decay mechanisms are sensitive to cascade modelling, abundance priors, stellar interpretation and spectral-distortion assumptions. Those risks are manageable but must be handled before publication as a strong physical claim.</w:t>
      </w:r>
    </w:p>
    <w:p>
      <w:pPr>
        <w:pStyle w:val="Heading1"/>
      </w:pPr>
      <w:r>
        <w:t>5. Limitations</w:t>
      </w:r>
    </w:p>
    <w:p>
      <w:pPr>
        <w:pStyle w:val="ListBullet"/>
      </w:pPr>
      <w:r>
        <w:t>The analysis is not yet an independent external reproduction.</w:t>
      </w:r>
    </w:p>
    <w:p>
      <w:pPr>
        <w:pStyle w:val="ListBullet"/>
      </w:pPr>
      <w:r>
        <w:t>The mediator model is still phenomenological; a fully specified action, symmetry content and particle-production history remain required.</w:t>
      </w:r>
    </w:p>
    <w:p>
      <w:pPr>
        <w:pStyle w:val="ListBullet"/>
      </w:pPr>
      <w:r>
        <w:t>The Planck run is spectrum-level but not map-level, and does not include ACT or SPT spectra.</w:t>
      </w:r>
    </w:p>
    <w:p>
      <w:pPr>
        <w:pStyle w:val="ListBullet"/>
      </w:pPr>
      <w:r>
        <w:t>The abundance and CMB gates are joined by a registered cell rather than by a single global sampler over all microscopic nuisance directions.</w:t>
      </w:r>
    </w:p>
    <w:p>
      <w:pPr>
        <w:pStyle w:val="ListBullet"/>
      </w:pPr>
      <w:r>
        <w:t>Systematic uncertainty in the stellar lithium plateau remains a separate astrophysical issue.</w:t>
      </w:r>
    </w:p>
    <w:p>
      <w:pPr>
        <w:pStyle w:val="Heading1"/>
      </w:pPr>
      <w:r>
        <w:t>6. Conclusions</w:t>
      </w:r>
    </w:p>
    <w:p>
      <w:r>
        <w:t>The July investigations failed to resolve the lithium problem using broad BBN or cosmological modifications. The August investigations found a selective electromagnetic-transfer candidate. The September full Planck PR4/NPIPE nuisance audit now qualifies the CMB gate for that candidate with all preregistered audit tests passed. The correct conclusion is that the candidate merits formal follow-up, not that the lithium problem is closed.</w:t>
      </w:r>
    </w:p>
    <w:p>
      <w:pPr>
        <w:pStyle w:val="Heading1"/>
      </w:pPr>
      <w:r>
        <w:t>7. Future Work</w:t>
      </w:r>
    </w:p>
    <w:p>
      <w:pPr>
        <w:pStyle w:val="ListNumber"/>
      </w:pPr>
      <w:r>
        <w:t>Run matched next-to-leading-order thermal corrections at and around the registered candidate cell.</w:t>
      </w:r>
    </w:p>
    <w:p>
      <w:pPr>
        <w:pStyle w:val="ListNumber"/>
      </w:pPr>
      <w:r>
        <w:t>Reproduce the ACROPOLIS/LINX candidate with independent code and fixed public manifests.</w:t>
      </w:r>
    </w:p>
    <w:p>
      <w:pPr>
        <w:pStyle w:val="ListNumber"/>
      </w:pPr>
      <w:r>
        <w:t>Extend CMB checks to ACT/SPT where likelihood access and parameter consistency allow.</w:t>
      </w:r>
    </w:p>
    <w:p>
      <w:pPr>
        <w:pStyle w:val="ListNumber"/>
      </w:pPr>
      <w:r>
        <w:t>Publish a frozen reproducibility bundle with checksums for scripts, input tables, plots and DOCX/PDF outputs.</w:t>
      </w:r>
    </w:p>
    <w:p>
      <w:pPr>
        <w:pStyle w:val="ListNumber"/>
      </w:pPr>
      <w:r>
        <w:t>Promote the model only after an action-level declaration specifies fields, interactions, gauge content, conservation laws and priors.</w:t>
      </w:r>
    </w:p>
    <w:p>
      <w:pPr>
        <w:pStyle w:val="Heading1"/>
      </w:pPr>
      <w:r>
        <w:t>Appendix A. Acronyms</w:t>
      </w:r>
    </w:p>
    <w:p>
      <w:pPr>
        <w:pStyle w:val="Caption"/>
      </w:pPr>
      <w:r>
        <w:rPr>
          <w:b/>
        </w:rPr>
        <w:t>Table A1. Acronym glossary</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Acronym</w:t>
            </w:r>
          </w:p>
        </w:tc>
        <w:tc>
          <w:tcPr>
            <w:tcW w:type="dxa" w:w="5227"/>
            <w:vAlign w:val="top"/>
            <w:shd w:fill="D9EAF7"/>
          </w:tcPr>
          <w:p>
            <w:r/>
            <w:r>
              <w:rPr>
                <w:b/>
                <w:sz w:val="17"/>
              </w:rPr>
              <w:t>Meaning</w:t>
            </w:r>
          </w:p>
        </w:tc>
      </w:tr>
      <w:tr>
        <w:tc>
          <w:tcPr>
            <w:tcW w:type="dxa" w:w="5227"/>
            <w:vAlign w:val="top"/>
          </w:tcPr>
          <w:p>
            <w:r/>
            <w:r>
              <w:rPr>
                <w:b w:val="0"/>
                <w:sz w:val="17"/>
              </w:rPr>
              <w:t>ACROPOLIS</w:t>
            </w:r>
          </w:p>
        </w:tc>
        <w:tc>
          <w:tcPr>
            <w:tcW w:type="dxa" w:w="5227"/>
            <w:vAlign w:val="top"/>
          </w:tcPr>
          <w:p>
            <w:r/>
            <w:r>
              <w:rPr>
                <w:b w:val="0"/>
                <w:sz w:val="17"/>
              </w:rPr>
              <w:t>Public electromagnetic-cascade framework used for BBN photodisintegration constraints.</w:t>
            </w:r>
          </w:p>
        </w:tc>
      </w:tr>
      <w:tr>
        <w:tc>
          <w:tcPr>
            <w:tcW w:type="dxa" w:w="5227"/>
            <w:vAlign w:val="top"/>
          </w:tcPr>
          <w:p>
            <w:r/>
            <w:r>
              <w:rPr>
                <w:b w:val="0"/>
                <w:sz w:val="17"/>
              </w:rPr>
              <w:t>AIC</w:t>
            </w:r>
          </w:p>
        </w:tc>
        <w:tc>
          <w:tcPr>
            <w:tcW w:type="dxa" w:w="5227"/>
            <w:vAlign w:val="top"/>
          </w:tcPr>
          <w:p>
            <w:r/>
            <w:r>
              <w:rPr>
                <w:b w:val="0"/>
                <w:sz w:val="17"/>
              </w:rPr>
              <w:t>Akaike Information Criterion; lower is preferred after a penalty of 2 parameters.</w:t>
            </w:r>
          </w:p>
        </w:tc>
      </w:tr>
      <w:tr>
        <w:tc>
          <w:tcPr>
            <w:tcW w:type="dxa" w:w="5227"/>
            <w:vAlign w:val="top"/>
          </w:tcPr>
          <w:p>
            <w:r/>
            <w:r>
              <w:rPr>
                <w:b w:val="0"/>
                <w:sz w:val="17"/>
              </w:rPr>
              <w:t>BBN</w:t>
            </w:r>
          </w:p>
        </w:tc>
        <w:tc>
          <w:tcPr>
            <w:tcW w:type="dxa" w:w="5227"/>
            <w:vAlign w:val="top"/>
          </w:tcPr>
          <w:p>
            <w:r/>
            <w:r>
              <w:rPr>
                <w:b w:val="0"/>
                <w:sz w:val="17"/>
              </w:rPr>
              <w:t>Big Bang Nucleosynthesis.</w:t>
            </w:r>
          </w:p>
        </w:tc>
      </w:tr>
      <w:tr>
        <w:tc>
          <w:tcPr>
            <w:tcW w:type="dxa" w:w="5227"/>
            <w:vAlign w:val="top"/>
          </w:tcPr>
          <w:p>
            <w:r/>
            <w:r>
              <w:rPr>
                <w:b w:val="0"/>
                <w:sz w:val="17"/>
              </w:rPr>
              <w:t>BIC</w:t>
            </w:r>
          </w:p>
        </w:tc>
        <w:tc>
          <w:tcPr>
            <w:tcW w:type="dxa" w:w="5227"/>
            <w:vAlign w:val="top"/>
          </w:tcPr>
          <w:p>
            <w:r/>
            <w:r>
              <w:rPr>
                <w:b w:val="0"/>
                <w:sz w:val="17"/>
              </w:rPr>
              <w:t>Bayesian Information Criterion; lower is preferred with a stronger log(N) parameter penalty.</w:t>
            </w:r>
          </w:p>
        </w:tc>
      </w:tr>
      <w:tr>
        <w:tc>
          <w:tcPr>
            <w:tcW w:type="dxa" w:w="5227"/>
            <w:vAlign w:val="top"/>
          </w:tcPr>
          <w:p>
            <w:r/>
            <w:r>
              <w:rPr>
                <w:b w:val="0"/>
                <w:sz w:val="17"/>
              </w:rPr>
              <w:t>CAMB</w:t>
            </w:r>
          </w:p>
        </w:tc>
        <w:tc>
          <w:tcPr>
            <w:tcW w:type="dxa" w:w="5227"/>
            <w:vAlign w:val="top"/>
          </w:tcPr>
          <w:p>
            <w:r/>
            <w:r>
              <w:rPr>
                <w:b w:val="0"/>
                <w:sz w:val="17"/>
              </w:rPr>
              <w:t>Code for Anisotropies in the Microwave Background.</w:t>
            </w:r>
          </w:p>
        </w:tc>
      </w:tr>
      <w:tr>
        <w:tc>
          <w:tcPr>
            <w:tcW w:type="dxa" w:w="5227"/>
            <w:vAlign w:val="top"/>
          </w:tcPr>
          <w:p>
            <w:r/>
            <w:r>
              <w:rPr>
                <w:b w:val="0"/>
                <w:sz w:val="17"/>
              </w:rPr>
              <w:t>CMB</w:t>
            </w:r>
          </w:p>
        </w:tc>
        <w:tc>
          <w:tcPr>
            <w:tcW w:type="dxa" w:w="5227"/>
            <w:vAlign w:val="top"/>
          </w:tcPr>
          <w:p>
            <w:r/>
            <w:r>
              <w:rPr>
                <w:b w:val="0"/>
                <w:sz w:val="17"/>
              </w:rPr>
              <w:t>Cosmic microwave background.</w:t>
            </w:r>
          </w:p>
        </w:tc>
      </w:tr>
      <w:tr>
        <w:tc>
          <w:tcPr>
            <w:tcW w:type="dxa" w:w="5227"/>
            <w:vAlign w:val="top"/>
          </w:tcPr>
          <w:p>
            <w:r/>
            <w:r>
              <w:rPr>
                <w:b w:val="0"/>
                <w:sz w:val="17"/>
              </w:rPr>
              <w:t>Cobaya</w:t>
            </w:r>
          </w:p>
        </w:tc>
        <w:tc>
          <w:tcPr>
            <w:tcW w:type="dxa" w:w="5227"/>
            <w:vAlign w:val="top"/>
          </w:tcPr>
          <w:p>
            <w:r/>
            <w:r>
              <w:rPr>
                <w:b w:val="0"/>
                <w:sz w:val="17"/>
              </w:rPr>
              <w:t>Cosmological Bayesian analysis package used for the Planck nuisance MCMC.</w:t>
            </w:r>
          </w:p>
        </w:tc>
      </w:tr>
      <w:tr>
        <w:tc>
          <w:tcPr>
            <w:tcW w:type="dxa" w:w="5227"/>
            <w:vAlign w:val="top"/>
          </w:tcPr>
          <w:p>
            <w:r/>
            <w:r>
              <w:rPr>
                <w:b w:val="0"/>
                <w:sz w:val="17"/>
              </w:rPr>
              <w:t>D/H</w:t>
            </w:r>
          </w:p>
        </w:tc>
        <w:tc>
          <w:tcPr>
            <w:tcW w:type="dxa" w:w="5227"/>
            <w:vAlign w:val="top"/>
          </w:tcPr>
          <w:p>
            <w:r/>
            <w:r>
              <w:rPr>
                <w:b w:val="0"/>
                <w:sz w:val="17"/>
              </w:rPr>
              <w:t>Deuterium-to-hydrogen abundance ratio.</w:t>
            </w:r>
          </w:p>
        </w:tc>
      </w:tr>
      <w:tr>
        <w:tc>
          <w:tcPr>
            <w:tcW w:type="dxa" w:w="5227"/>
            <w:vAlign w:val="top"/>
          </w:tcPr>
          <w:p>
            <w:r/>
            <w:r>
              <w:rPr>
                <w:b w:val="0"/>
                <w:sz w:val="17"/>
              </w:rPr>
              <w:t>ESS</w:t>
            </w:r>
          </w:p>
        </w:tc>
        <w:tc>
          <w:tcPr>
            <w:tcW w:type="dxa" w:w="5227"/>
            <w:vAlign w:val="top"/>
          </w:tcPr>
          <w:p>
            <w:r/>
            <w:r>
              <w:rPr>
                <w:b w:val="0"/>
                <w:sz w:val="17"/>
              </w:rPr>
              <w:t>Effective sample size; here the autocorrelation-aware number of effectively independent posterior samples.</w:t>
            </w:r>
          </w:p>
        </w:tc>
      </w:tr>
      <w:tr>
        <w:tc>
          <w:tcPr>
            <w:tcW w:type="dxa" w:w="5227"/>
            <w:vAlign w:val="top"/>
          </w:tcPr>
          <w:p>
            <w:r/>
            <w:r>
              <w:rPr>
                <w:b w:val="0"/>
                <w:sz w:val="17"/>
              </w:rPr>
              <w:t>FIRAS</w:t>
            </w:r>
          </w:p>
        </w:tc>
        <w:tc>
          <w:tcPr>
            <w:tcW w:type="dxa" w:w="5227"/>
            <w:vAlign w:val="top"/>
          </w:tcPr>
          <w:p>
            <w:r/>
            <w:r>
              <w:rPr>
                <w:b w:val="0"/>
                <w:sz w:val="17"/>
              </w:rPr>
              <w:t>Far Infrared Absolute Spectrophotometer on COBE.</w:t>
            </w:r>
          </w:p>
        </w:tc>
      </w:tr>
      <w:tr>
        <w:tc>
          <w:tcPr>
            <w:tcW w:type="dxa" w:w="5227"/>
            <w:vAlign w:val="top"/>
          </w:tcPr>
          <w:p>
            <w:r/>
            <w:r>
              <w:rPr>
                <w:b w:val="0"/>
                <w:sz w:val="17"/>
              </w:rPr>
              <w:t>LINX</w:t>
            </w:r>
          </w:p>
        </w:tc>
        <w:tc>
          <w:tcPr>
            <w:tcW w:type="dxa" w:w="5227"/>
            <w:vAlign w:val="top"/>
          </w:tcPr>
          <w:p>
            <w:r/>
            <w:r>
              <w:rPr>
                <w:b w:val="0"/>
                <w:sz w:val="17"/>
              </w:rPr>
              <w:t>Fast differentiable BBN package used for abundance calculations and validation.</w:t>
            </w:r>
          </w:p>
        </w:tc>
      </w:tr>
      <w:tr>
        <w:tc>
          <w:tcPr>
            <w:tcW w:type="dxa" w:w="5227"/>
            <w:vAlign w:val="top"/>
          </w:tcPr>
          <w:p>
            <w:r/>
            <w:r>
              <w:rPr>
                <w:b w:val="0"/>
                <w:sz w:val="17"/>
              </w:rPr>
              <w:t>MCMC</w:t>
            </w:r>
          </w:p>
        </w:tc>
        <w:tc>
          <w:tcPr>
            <w:tcW w:type="dxa" w:w="5227"/>
            <w:vAlign w:val="top"/>
          </w:tcPr>
          <w:p>
            <w:r/>
            <w:r>
              <w:rPr>
                <w:b w:val="0"/>
                <w:sz w:val="17"/>
              </w:rPr>
              <w:t>Markov-chain Monte Carlo.</w:t>
            </w:r>
          </w:p>
        </w:tc>
      </w:tr>
      <w:tr>
        <w:tc>
          <w:tcPr>
            <w:tcW w:type="dxa" w:w="5227"/>
            <w:vAlign w:val="top"/>
          </w:tcPr>
          <w:p>
            <w:r/>
            <w:r>
              <w:rPr>
                <w:b w:val="0"/>
                <w:sz w:val="17"/>
              </w:rPr>
              <w:t>NPIPE</w:t>
            </w:r>
          </w:p>
        </w:tc>
        <w:tc>
          <w:tcPr>
            <w:tcW w:type="dxa" w:w="5227"/>
            <w:vAlign w:val="top"/>
          </w:tcPr>
          <w:p>
            <w:r/>
            <w:r>
              <w:rPr>
                <w:b w:val="0"/>
                <w:sz w:val="17"/>
              </w:rPr>
              <w:t>Planck reprocessing pipeline used for PR4 products.</w:t>
            </w:r>
          </w:p>
        </w:tc>
      </w:tr>
      <w:tr>
        <w:tc>
          <w:tcPr>
            <w:tcW w:type="dxa" w:w="5227"/>
            <w:vAlign w:val="top"/>
          </w:tcPr>
          <w:p>
            <w:r/>
            <w:r>
              <w:rPr>
                <w:b w:val="0"/>
                <w:sz w:val="17"/>
              </w:rPr>
              <w:t>PR4</w:t>
            </w:r>
          </w:p>
        </w:tc>
        <w:tc>
          <w:tcPr>
            <w:tcW w:type="dxa" w:w="5227"/>
            <w:vAlign w:val="top"/>
          </w:tcPr>
          <w:p>
            <w:r/>
            <w:r>
              <w:rPr>
                <w:b w:val="0"/>
                <w:sz w:val="17"/>
              </w:rPr>
              <w:t>Planck public release 4.</w:t>
            </w:r>
          </w:p>
        </w:tc>
      </w:tr>
      <w:tr>
        <w:tc>
          <w:tcPr>
            <w:tcW w:type="dxa" w:w="5227"/>
            <w:vAlign w:val="top"/>
          </w:tcPr>
          <w:p>
            <w:r/>
            <w:r>
              <w:rPr>
                <w:b w:val="0"/>
                <w:sz w:val="17"/>
              </w:rPr>
              <w:t>SPD</w:t>
            </w:r>
          </w:p>
        </w:tc>
        <w:tc>
          <w:tcPr>
            <w:tcW w:type="dxa" w:w="5227"/>
            <w:vAlign w:val="top"/>
          </w:tcPr>
          <w:p>
            <w:r/>
            <w:r>
              <w:rPr>
                <w:b w:val="0"/>
                <w:sz w:val="17"/>
              </w:rPr>
              <w:t>Symmetric positive definite; used for covariance handling and Cholesky/LAPACK inversion.</w:t>
            </w:r>
          </w:p>
        </w:tc>
      </w:tr>
      <w:tr>
        <w:tc>
          <w:tcPr>
            <w:tcW w:type="dxa" w:w="5227"/>
            <w:vAlign w:val="top"/>
          </w:tcPr>
          <w:p>
            <w:r/>
            <w:r>
              <w:rPr>
                <w:b w:val="0"/>
                <w:sz w:val="17"/>
              </w:rPr>
              <w:t>TV index</w:t>
            </w:r>
          </w:p>
        </w:tc>
        <w:tc>
          <w:tcPr>
            <w:tcW w:type="dxa" w:w="5227"/>
            <w:vAlign w:val="top"/>
          </w:tcPr>
          <w:p>
            <w:r/>
            <w:r>
              <w:rPr>
                <w:b w:val="0"/>
                <w:sz w:val="17"/>
              </w:rPr>
              <w:t>Traceability/validation index. The reports place it after each investigation section.</w:t>
            </w:r>
          </w:p>
        </w:tc>
      </w:tr>
    </w:tbl>
    <w:p/>
    <w:p>
      <w:pPr>
        <w:pStyle w:val="Heading1"/>
      </w:pPr>
      <w:r>
        <w:t>Appendix B. Variables</w:t>
      </w:r>
    </w:p>
    <w:p>
      <w:pPr>
        <w:pStyle w:val="Caption"/>
      </w:pPr>
      <w:r>
        <w:rPr>
          <w:b/>
        </w:rPr>
        <w:t>Table B1. Variable glossary</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Variable</w:t>
            </w:r>
          </w:p>
        </w:tc>
        <w:tc>
          <w:tcPr>
            <w:tcW w:type="dxa" w:w="5227"/>
            <w:vAlign w:val="top"/>
            <w:shd w:fill="D9EAF7"/>
          </w:tcPr>
          <w:p>
            <w:r/>
            <w:r>
              <w:rPr>
                <w:b/>
                <w:sz w:val="17"/>
              </w:rPr>
              <w:t>Meaning</w:t>
            </w:r>
          </w:p>
        </w:tc>
      </w:tr>
      <w:tr>
        <w:tc>
          <w:tcPr>
            <w:tcW w:type="dxa" w:w="5227"/>
            <w:vAlign w:val="top"/>
          </w:tcPr>
          <w:p>
            <w:r/>
            <w:r>
              <w:rPr>
                <w:b w:val="0"/>
                <w:sz w:val="17"/>
              </w:rPr>
              <w:t>eta10</w:t>
            </w:r>
          </w:p>
        </w:tc>
        <w:tc>
          <w:tcPr>
            <w:tcW w:type="dxa" w:w="5227"/>
            <w:vAlign w:val="top"/>
          </w:tcPr>
          <w:p>
            <w:r/>
            <w:r>
              <w:rPr>
                <w:b w:val="0"/>
                <w:sz w:val="17"/>
              </w:rPr>
              <w:t>10^10 times the baryon-to-photon ratio eta; converted from omega_b using eta10 = 273.78 omega_b for T_CMB = 2.7255 K.</w:t>
            </w:r>
          </w:p>
        </w:tc>
      </w:tr>
      <w:tr>
        <w:tc>
          <w:tcPr>
            <w:tcW w:type="dxa" w:w="5227"/>
            <w:vAlign w:val="top"/>
          </w:tcPr>
          <w:p>
            <w:r/>
            <w:r>
              <w:rPr>
                <w:b w:val="0"/>
                <w:sz w:val="17"/>
              </w:rPr>
              <w:t>omega_b / ombh2</w:t>
            </w:r>
          </w:p>
        </w:tc>
        <w:tc>
          <w:tcPr>
            <w:tcW w:type="dxa" w:w="5227"/>
            <w:vAlign w:val="top"/>
          </w:tcPr>
          <w:p>
            <w:r/>
            <w:r>
              <w:rPr>
                <w:b w:val="0"/>
                <w:sz w:val="17"/>
              </w:rPr>
              <w:t>Physical baryon density Omega_b h^2.</w:t>
            </w:r>
          </w:p>
        </w:tc>
      </w:tr>
      <w:tr>
        <w:tc>
          <w:tcPr>
            <w:tcW w:type="dxa" w:w="5227"/>
            <w:vAlign w:val="top"/>
          </w:tcPr>
          <w:p>
            <w:r/>
            <w:r>
              <w:rPr>
                <w:b w:val="0"/>
                <w:sz w:val="17"/>
              </w:rPr>
              <w:t>omega_c / omch2</w:t>
            </w:r>
          </w:p>
        </w:tc>
        <w:tc>
          <w:tcPr>
            <w:tcW w:type="dxa" w:w="5227"/>
            <w:vAlign w:val="top"/>
          </w:tcPr>
          <w:p>
            <w:r/>
            <w:r>
              <w:rPr>
                <w:b w:val="0"/>
                <w:sz w:val="17"/>
              </w:rPr>
              <w:t>Physical cold dark matter density Omega_c h^2.</w:t>
            </w:r>
          </w:p>
        </w:tc>
      </w:tr>
      <w:tr>
        <w:tc>
          <w:tcPr>
            <w:tcW w:type="dxa" w:w="5227"/>
            <w:vAlign w:val="top"/>
          </w:tcPr>
          <w:p>
            <w:r/>
            <w:r>
              <w:rPr>
                <w:b w:val="0"/>
                <w:sz w:val="17"/>
              </w:rPr>
              <w:t>N_eff / nnu</w:t>
            </w:r>
          </w:p>
        </w:tc>
        <w:tc>
          <w:tcPr>
            <w:tcW w:type="dxa" w:w="5227"/>
            <w:vAlign w:val="top"/>
          </w:tcPr>
          <w:p>
            <w:r/>
            <w:r>
              <w:rPr>
                <w:b w:val="0"/>
                <w:sz w:val="17"/>
              </w:rPr>
              <w:t>Effective relativistic species count inferred independently in the CMB nuisance chain.</w:t>
            </w:r>
          </w:p>
        </w:tc>
      </w:tr>
      <w:tr>
        <w:tc>
          <w:tcPr>
            <w:tcW w:type="dxa" w:w="5227"/>
            <w:vAlign w:val="top"/>
          </w:tcPr>
          <w:p>
            <w:r/>
            <w:r>
              <w:rPr>
                <w:b w:val="0"/>
                <w:sz w:val="17"/>
              </w:rPr>
              <w:t>Y_p / YHe</w:t>
            </w:r>
          </w:p>
        </w:tc>
        <w:tc>
          <w:tcPr>
            <w:tcW w:type="dxa" w:w="5227"/>
            <w:vAlign w:val="top"/>
          </w:tcPr>
          <w:p>
            <w:r/>
            <w:r>
              <w:rPr>
                <w:b w:val="0"/>
                <w:sz w:val="17"/>
              </w:rPr>
              <w:t>Primordial helium-4 mass fraction; sampled independently in the full CMB likelihood.</w:t>
            </w:r>
          </w:p>
        </w:tc>
      </w:tr>
      <w:tr>
        <w:tc>
          <w:tcPr>
            <w:tcW w:type="dxa" w:w="5227"/>
            <w:vAlign w:val="top"/>
          </w:tcPr>
          <w:p>
            <w:r/>
            <w:r>
              <w:rPr>
                <w:b w:val="0"/>
                <w:sz w:val="17"/>
              </w:rPr>
              <w:t>D/H</w:t>
            </w:r>
          </w:p>
        </w:tc>
        <w:tc>
          <w:tcPr>
            <w:tcW w:type="dxa" w:w="5227"/>
            <w:vAlign w:val="top"/>
          </w:tcPr>
          <w:p>
            <w:r/>
            <w:r>
              <w:rPr>
                <w:b w:val="0"/>
                <w:sz w:val="17"/>
              </w:rPr>
              <w:t>Deuterium abundance anchor; required to remain within the adopted observational gate.</w:t>
            </w:r>
          </w:p>
        </w:tc>
      </w:tr>
      <w:tr>
        <w:tc>
          <w:tcPr>
            <w:tcW w:type="dxa" w:w="5227"/>
            <w:vAlign w:val="top"/>
          </w:tcPr>
          <w:p>
            <w:r/>
            <w:r>
              <w:rPr>
                <w:b w:val="0"/>
                <w:sz w:val="17"/>
              </w:rPr>
              <w:t>Li-7/H</w:t>
            </w:r>
          </w:p>
        </w:tc>
        <w:tc>
          <w:tcPr>
            <w:tcW w:type="dxa" w:w="5227"/>
            <w:vAlign w:val="top"/>
          </w:tcPr>
          <w:p>
            <w:r/>
            <w:r>
              <w:rPr>
                <w:b w:val="0"/>
                <w:sz w:val="17"/>
              </w:rPr>
              <w:t>Lithium-7 abundance. Most primordial mass-7 is produced as Be-7 and later decays to Li-7.</w:t>
            </w:r>
          </w:p>
        </w:tc>
      </w:tr>
      <w:tr>
        <w:tc>
          <w:tcPr>
            <w:tcW w:type="dxa" w:w="5227"/>
            <w:vAlign w:val="top"/>
          </w:tcPr>
          <w:p>
            <w:r/>
            <w:r>
              <w:rPr>
                <w:b w:val="0"/>
                <w:sz w:val="17"/>
              </w:rPr>
              <w:t>m_phi</w:t>
            </w:r>
          </w:p>
        </w:tc>
        <w:tc>
          <w:tcPr>
            <w:tcW w:type="dxa" w:w="5227"/>
            <w:vAlign w:val="top"/>
          </w:tcPr>
          <w:p>
            <w:r/>
            <w:r>
              <w:rPr>
                <w:b w:val="0"/>
                <w:sz w:val="17"/>
              </w:rPr>
              <w:t>Mediator mass in MeV for the selective electromagnetic-transfer candidate.</w:t>
            </w:r>
          </w:p>
        </w:tc>
      </w:tr>
      <w:tr>
        <w:tc>
          <w:tcPr>
            <w:tcW w:type="dxa" w:w="5227"/>
            <w:vAlign w:val="top"/>
          </w:tcPr>
          <w:p>
            <w:r/>
            <w:r>
              <w:rPr>
                <w:b w:val="0"/>
                <w:sz w:val="17"/>
              </w:rPr>
              <w:t>E_gamma</w:t>
            </w:r>
          </w:p>
        </w:tc>
        <w:tc>
          <w:tcPr>
            <w:tcW w:type="dxa" w:w="5227"/>
            <w:vAlign w:val="top"/>
          </w:tcPr>
          <w:p>
            <w:r/>
            <w:r>
              <w:rPr>
                <w:b w:val="0"/>
                <w:sz w:val="17"/>
              </w:rPr>
              <w:t>Characteristic photon energy, approximated as m_phi/2 for two-photon decay.</w:t>
            </w:r>
          </w:p>
        </w:tc>
      </w:tr>
      <w:tr>
        <w:tc>
          <w:tcPr>
            <w:tcW w:type="dxa" w:w="5227"/>
            <w:vAlign w:val="top"/>
          </w:tcPr>
          <w:p>
            <w:r/>
            <w:r>
              <w:rPr>
                <w:b w:val="0"/>
                <w:sz w:val="17"/>
              </w:rPr>
              <w:t>tau_phi</w:t>
            </w:r>
          </w:p>
        </w:tc>
        <w:tc>
          <w:tcPr>
            <w:tcW w:type="dxa" w:w="5227"/>
            <w:vAlign w:val="top"/>
          </w:tcPr>
          <w:p>
            <w:r/>
            <w:r>
              <w:rPr>
                <w:b w:val="0"/>
                <w:sz w:val="17"/>
              </w:rPr>
              <w:t>Mediator lifetime in seconds.</w:t>
            </w:r>
          </w:p>
        </w:tc>
      </w:tr>
      <w:tr>
        <w:tc>
          <w:tcPr>
            <w:tcW w:type="dxa" w:w="5227"/>
            <w:vAlign w:val="top"/>
          </w:tcPr>
          <w:p>
            <w:r/>
            <w:r>
              <w:rPr>
                <w:b w:val="0"/>
                <w:sz w:val="17"/>
              </w:rPr>
              <w:t>n_phi/n_gamma</w:t>
            </w:r>
          </w:p>
        </w:tc>
        <w:tc>
          <w:tcPr>
            <w:tcW w:type="dxa" w:w="5227"/>
            <w:vAlign w:val="top"/>
          </w:tcPr>
          <w:p>
            <w:r/>
            <w:r>
              <w:rPr>
                <w:b w:val="0"/>
                <w:sz w:val="17"/>
              </w:rPr>
              <w:t>Mediator abundance relative to photons at T = 10 MeV.</w:t>
            </w:r>
          </w:p>
        </w:tc>
      </w:tr>
      <w:tr>
        <w:tc>
          <w:tcPr>
            <w:tcW w:type="dxa" w:w="5227"/>
            <w:vAlign w:val="top"/>
          </w:tcPr>
          <w:p>
            <w:r/>
            <w:r>
              <w:rPr>
                <w:b w:val="0"/>
                <w:sz w:val="17"/>
              </w:rPr>
              <w:t>g_phi_gamma</w:t>
            </w:r>
          </w:p>
        </w:tc>
        <w:tc>
          <w:tcPr>
            <w:tcW w:type="dxa" w:w="5227"/>
            <w:vAlign w:val="top"/>
          </w:tcPr>
          <w:p>
            <w:r/>
            <w:r>
              <w:rPr>
                <w:b w:val="0"/>
                <w:sz w:val="17"/>
              </w:rPr>
              <w:t>Effective mediator-photon coupling in GeV^-1.</w:t>
            </w:r>
          </w:p>
        </w:tc>
      </w:tr>
      <w:tr>
        <w:tc>
          <w:tcPr>
            <w:tcW w:type="dxa" w:w="5227"/>
            <w:vAlign w:val="top"/>
          </w:tcPr>
          <w:p>
            <w:r/>
            <w:r>
              <w:rPr>
                <w:b w:val="0"/>
                <w:sz w:val="17"/>
              </w:rPr>
              <w:t>mu</w:t>
            </w:r>
          </w:p>
        </w:tc>
        <w:tc>
          <w:tcPr>
            <w:tcW w:type="dxa" w:w="5227"/>
            <w:vAlign w:val="top"/>
          </w:tcPr>
          <w:p>
            <w:r/>
            <w:r>
              <w:rPr>
                <w:b w:val="0"/>
                <w:sz w:val="17"/>
              </w:rPr>
              <w:t>CMB spectral-distortion chemical-potential style readout.</w:t>
            </w:r>
          </w:p>
        </w:tc>
      </w:tr>
      <w:tr>
        <w:tc>
          <w:tcPr>
            <w:tcW w:type="dxa" w:w="5227"/>
            <w:vAlign w:val="top"/>
          </w:tcPr>
          <w:p>
            <w:r/>
            <w:r>
              <w:rPr>
                <w:b w:val="0"/>
                <w:sz w:val="17"/>
              </w:rPr>
              <w:t>R-1</w:t>
            </w:r>
          </w:p>
        </w:tc>
        <w:tc>
          <w:tcPr>
            <w:tcW w:type="dxa" w:w="5227"/>
            <w:vAlign w:val="top"/>
          </w:tcPr>
          <w:p>
            <w:r/>
            <w:r>
              <w:rPr>
                <w:b w:val="0"/>
                <w:sz w:val="17"/>
              </w:rPr>
              <w:t>Convergence diagnostic used by Cobaya and the split-chain audit.</w:t>
            </w:r>
          </w:p>
        </w:tc>
      </w:tr>
      <w:tr>
        <w:tc>
          <w:tcPr>
            <w:tcW w:type="dxa" w:w="5227"/>
            <w:vAlign w:val="top"/>
          </w:tcPr>
          <w:p>
            <w:r/>
            <w:r>
              <w:rPr>
                <w:b w:val="0"/>
                <w:sz w:val="17"/>
              </w:rPr>
              <w:t>chi2</w:t>
            </w:r>
          </w:p>
        </w:tc>
        <w:tc>
          <w:tcPr>
            <w:tcW w:type="dxa" w:w="5227"/>
            <w:vAlign w:val="top"/>
          </w:tcPr>
          <w:p>
            <w:r/>
            <w:r>
              <w:rPr>
                <w:b w:val="0"/>
                <w:sz w:val="17"/>
              </w:rPr>
              <w:t>Goodness-of-fit statistic; lower values indicate a better fit for the same data and model complexity.</w:t>
            </w:r>
          </w:p>
        </w:tc>
      </w:tr>
    </w:tbl>
    <w:p/>
    <w:p>
      <w:pPr>
        <w:pStyle w:val="Heading1"/>
      </w:pPr>
      <w:r>
        <w:t>Appendix C. Program and Data Manifest</w:t>
      </w:r>
    </w:p>
    <w:p>
      <w:pPr>
        <w:pStyle w:val="Caption"/>
      </w:pPr>
      <w:r>
        <w:rPr>
          <w:b/>
        </w:rPr>
        <w:t>Table C1. Principal programs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Program or path</w:t>
            </w:r>
          </w:p>
        </w:tc>
        <w:tc>
          <w:tcPr>
            <w:tcW w:type="dxa" w:w="5227"/>
            <w:vAlign w:val="top"/>
            <w:shd w:fill="D9EAF7"/>
          </w:tcPr>
          <w:p>
            <w:r/>
            <w:r>
              <w:rPr>
                <w:b/>
                <w:sz w:val="17"/>
              </w:rPr>
              <w:t>Role in the investigation</w:t>
            </w:r>
          </w:p>
        </w:tc>
      </w:tr>
      <w:tr>
        <w:tc>
          <w:tcPr>
            <w:tcW w:type="dxa" w:w="5227"/>
            <w:vAlign w:val="top"/>
          </w:tcPr>
          <w:p>
            <w:r/>
            <w:r>
              <w:rPr>
                <w:b w:val="0"/>
                <w:sz w:val="17"/>
              </w:rPr>
              <w:t>analyze_bbn_lithium_linx_fr_network_2026-07-16.py</w:t>
            </w:r>
          </w:p>
        </w:tc>
        <w:tc>
          <w:tcPr>
            <w:tcW w:type="dxa" w:w="5227"/>
            <w:vAlign w:val="top"/>
          </w:tcPr>
          <w:p>
            <w:r/>
            <w:r>
              <w:rPr>
                <w:b w:val="0"/>
                <w:sz w:val="17"/>
              </w:rPr>
              <w:t>July LINX/FR network controls; reproduced the lithium problem and did not identify a D+He+Li pass.</w:t>
            </w:r>
          </w:p>
        </w:tc>
      </w:tr>
      <w:tr>
        <w:tc>
          <w:tcPr>
            <w:tcW w:type="dxa" w:w="5227"/>
            <w:vAlign w:val="top"/>
          </w:tcPr>
          <w:p>
            <w:r/>
            <w:r>
              <w:rPr>
                <w:b w:val="0"/>
                <w:sz w:val="17"/>
              </w:rPr>
              <w:t>analyze_su2_bbn_lithium_gate_2026-07-17.py</w:t>
            </w:r>
          </w:p>
        </w:tc>
        <w:tc>
          <w:tcPr>
            <w:tcW w:type="dxa" w:w="5227"/>
            <w:vAlign w:val="top"/>
          </w:tcPr>
          <w:p>
            <w:r/>
            <w:r>
              <w:rPr>
                <w:b w:val="0"/>
                <w:sz w:val="17"/>
              </w:rPr>
              <w:t>July SU2-style expansion/thermal gate for lithium; part of the negative control phase.</w:t>
            </w:r>
          </w:p>
        </w:tc>
      </w:tr>
      <w:tr>
        <w:tc>
          <w:tcPr>
            <w:tcW w:type="dxa" w:w="5227"/>
            <w:vAlign w:val="top"/>
          </w:tcPr>
          <w:p>
            <w:r/>
            <w:r>
              <w:rPr>
                <w:b w:val="0"/>
                <w:sz w:val="17"/>
              </w:rPr>
              <w:t>validate_bbn_lithium_linx_matrix_2026-07-17.py</w:t>
            </w:r>
          </w:p>
        </w:tc>
        <w:tc>
          <w:tcPr>
            <w:tcW w:type="dxa" w:w="5227"/>
            <w:vAlign w:val="top"/>
          </w:tcPr>
          <w:p>
            <w:r/>
            <w:r>
              <w:rPr>
                <w:b w:val="0"/>
                <w:sz w:val="17"/>
              </w:rPr>
              <w:t>Strict July validation matrix for the BBN lithium controls.</w:t>
            </w:r>
          </w:p>
        </w:tc>
      </w:tr>
      <w:tr>
        <w:tc>
          <w:tcPr>
            <w:tcW w:type="dxa" w:w="5227"/>
            <w:vAlign w:val="top"/>
          </w:tcPr>
          <w:p>
            <w:r/>
            <w:r>
              <w:rPr>
                <w:b w:val="0"/>
                <w:sz w:val="17"/>
              </w:rPr>
              <w:t>audit_bbn_lithium_linx_fr_scan_2026-07-17.py</w:t>
            </w:r>
          </w:p>
        </w:tc>
        <w:tc>
          <w:tcPr>
            <w:tcW w:type="dxa" w:w="5227"/>
            <w:vAlign w:val="top"/>
          </w:tcPr>
          <w:p>
            <w:r/>
            <w:r>
              <w:rPr>
                <w:b w:val="0"/>
                <w:sz w:val="17"/>
              </w:rPr>
              <w:t>Audit layer for the July LINX/FR scan.</w:t>
            </w:r>
          </w:p>
        </w:tc>
      </w:tr>
      <w:tr>
        <w:tc>
          <w:tcPr>
            <w:tcW w:type="dxa" w:w="5227"/>
            <w:vAlign w:val="top"/>
          </w:tcPr>
          <w:p>
            <w:r/>
            <w:r>
              <w:rPr>
                <w:b w:val="0"/>
                <w:sz w:val="17"/>
              </w:rPr>
              <w:t>run_cobaya_spd_cache_builder_2026_08_21.py</w:t>
            </w:r>
          </w:p>
        </w:tc>
        <w:tc>
          <w:tcPr>
            <w:tcW w:type="dxa" w:w="5227"/>
            <w:vAlign w:val="top"/>
          </w:tcPr>
          <w:p>
            <w:r/>
            <w:r>
              <w:rPr>
                <w:b w:val="0"/>
                <w:sz w:val="17"/>
              </w:rPr>
              <w:t>Built the validated SPD cache for the Planck PR4/NPIPE CamSpec likelihood.</w:t>
            </w:r>
          </w:p>
        </w:tc>
      </w:tr>
      <w:tr>
        <w:tc>
          <w:tcPr>
            <w:tcW w:type="dxa" w:w="5227"/>
            <w:vAlign w:val="top"/>
          </w:tcPr>
          <w:p>
            <w:r/>
            <w:r>
              <w:rPr>
                <w:b w:val="0"/>
                <w:sz w:val="17"/>
              </w:rPr>
              <w:t>postprocess_planck_pr4_full_nuisance.py</w:t>
            </w:r>
          </w:p>
        </w:tc>
        <w:tc>
          <w:tcPr>
            <w:tcW w:type="dxa" w:w="5227"/>
            <w:vAlign w:val="top"/>
          </w:tcPr>
          <w:p>
            <w:r/>
            <w:r>
              <w:rPr>
                <w:b w:val="0"/>
                <w:sz w:val="17"/>
              </w:rPr>
              <w:t>Post-processed the native full CMB nuisance chain and compared the registered lithium cell with the CMB posterior.</w:t>
            </w:r>
          </w:p>
        </w:tc>
      </w:tr>
      <w:tr>
        <w:tc>
          <w:tcPr>
            <w:tcW w:type="dxa" w:w="5227"/>
            <w:vAlign w:val="top"/>
          </w:tcPr>
          <w:p>
            <w:r/>
            <w:r>
              <w:rPr>
                <w:b w:val="0"/>
                <w:sz w:val="17"/>
              </w:rPr>
              <w:t>audit_planck_pr4_full_nuisance_qualification.py</w:t>
            </w:r>
          </w:p>
        </w:tc>
        <w:tc>
          <w:tcPr>
            <w:tcW w:type="dxa" w:w="5227"/>
            <w:vAlign w:val="top"/>
          </w:tcPr>
          <w:p>
            <w:r/>
            <w:r>
              <w:rPr>
                <w:b w:val="0"/>
                <w:sz w:val="17"/>
              </w:rPr>
              <w:t>Strict qualification audit: split chains, autocorrelation-aware ESS, registered-cell density, nuisance stability and half-chain stability.</w:t>
            </w:r>
          </w:p>
        </w:tc>
      </w:tr>
      <w:tr>
        <w:tc>
          <w:tcPr>
            <w:tcW w:type="dxa" w:w="5227"/>
            <w:vAlign w:val="top"/>
          </w:tcPr>
          <w:p>
            <w:r/>
            <w:r>
              <w:rPr>
                <w:b w:val="0"/>
                <w:sz w:val="17"/>
              </w:rPr>
              <w:t>start_planck_pr4_full_nuisance_background.ps1</w:t>
            </w:r>
          </w:p>
        </w:tc>
        <w:tc>
          <w:tcPr>
            <w:tcW w:type="dxa" w:w="5227"/>
            <w:vAlign w:val="top"/>
          </w:tcPr>
          <w:p>
            <w:r/>
            <w:r>
              <w:rPr>
                <w:b w:val="0"/>
                <w:sz w:val="17"/>
              </w:rPr>
              <w:t>Background launcher for the native Planck PR4 full nuisance MCMC.</w:t>
            </w:r>
          </w:p>
        </w:tc>
      </w:tr>
      <w:tr>
        <w:tc>
          <w:tcPr>
            <w:tcW w:type="dxa" w:w="5227"/>
            <w:vAlign w:val="top"/>
          </w:tcPr>
          <w:p>
            <w:r/>
            <w:r>
              <w:rPr>
                <w:b w:val="0"/>
                <w:sz w:val="17"/>
              </w:rPr>
              <w:t>start_planck_pr4_full_nuisance_ess_topup_background.ps1</w:t>
            </w:r>
          </w:p>
        </w:tc>
        <w:tc>
          <w:tcPr>
            <w:tcW w:type="dxa" w:w="5227"/>
            <w:vAlign w:val="top"/>
          </w:tcPr>
          <w:p>
            <w:r/>
            <w:r>
              <w:rPr>
                <w:b w:val="0"/>
                <w:sz w:val="17"/>
              </w:rPr>
              <w:t>Background launcher for the ESS top-up chain.</w:t>
            </w:r>
          </w:p>
        </w:tc>
      </w:tr>
      <w:tr>
        <w:tc>
          <w:tcPr>
            <w:tcW w:type="dxa" w:w="5227"/>
            <w:vAlign w:val="top"/>
          </w:tcPr>
          <w:p>
            <w:r/>
            <w:r>
              <w:rPr>
                <w:b w:val="0"/>
                <w:sz w:val="17"/>
              </w:rPr>
              <w:t>build_bbn_li_reports_20260911.py</w:t>
            </w:r>
          </w:p>
        </w:tc>
        <w:tc>
          <w:tcPr>
            <w:tcW w:type="dxa" w:w="5227"/>
            <w:vAlign w:val="top"/>
          </w:tcPr>
          <w:p>
            <w:r/>
            <w:r>
              <w:rPr>
                <w:b w:val="0"/>
                <w:sz w:val="17"/>
              </w:rPr>
              <w:t>This reproducible DOCX report generator.</w:t>
            </w:r>
          </w:p>
        </w:tc>
      </w:tr>
    </w:tbl>
    <w:p/>
    <w:p>
      <w:pPr>
        <w:pStyle w:val="Caption"/>
      </w:pPr>
      <w:r>
        <w:rPr>
          <w:b/>
        </w:rPr>
        <w:t>Table C2. Repository and output cross-reference</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b/>
                <w:sz w:val="17"/>
              </w:rPr>
              <w:t>Object</w:t>
            </w:r>
          </w:p>
        </w:tc>
        <w:tc>
          <w:tcPr>
            <w:tcW w:type="dxa" w:w="5227"/>
            <w:vAlign w:val="top"/>
            <w:shd w:fill="D9EAF7"/>
          </w:tcPr>
          <w:p>
            <w:r/>
            <w:r>
              <w:rPr>
                <w:b/>
                <w:sz w:val="17"/>
              </w:rPr>
              <w:t>Path or URL</w:t>
            </w:r>
          </w:p>
        </w:tc>
      </w:tr>
      <w:tr>
        <w:tc>
          <w:tcPr>
            <w:tcW w:type="dxa" w:w="5227"/>
            <w:vAlign w:val="top"/>
          </w:tcPr>
          <w:p>
            <w:r/>
            <w:r>
              <w:rPr>
                <w:b w:val="0"/>
                <w:sz w:val="17"/>
              </w:rPr>
              <w:t>Local output root</w:t>
            </w:r>
          </w:p>
        </w:tc>
        <w:tc>
          <w:tcPr>
            <w:tcW w:type="dxa" w:w="5227"/>
            <w:vAlign w:val="top"/>
          </w:tcPr>
          <w:p>
            <w:r/>
            <w:r>
              <w:rPr>
                <w:b w:val="0"/>
                <w:sz w:val="17"/>
              </w:rPr>
              <w:t>C:\Users\clive\Documents\Codex\2026-07-14\ok-continu\outputs\bbn_lithium_full_cmb_nuisance_20260821</w:t>
            </w:r>
          </w:p>
        </w:tc>
      </w:tr>
      <w:tr>
        <w:tc>
          <w:tcPr>
            <w:tcW w:type="dxa" w:w="5227"/>
            <w:vAlign w:val="top"/>
          </w:tcPr>
          <w:p>
            <w:r/>
            <w:r>
              <w:rPr>
                <w:b w:val="0"/>
                <w:sz w:val="17"/>
              </w:rPr>
              <w:t>Combined qualification audit</w:t>
            </w:r>
          </w:p>
        </w:tc>
        <w:tc>
          <w:tcPr>
            <w:tcW w:type="dxa" w:w="5227"/>
            <w:vAlign w:val="top"/>
          </w:tcPr>
          <w:p>
            <w:r/>
            <w:r>
              <w:rPr>
                <w:b w:val="0"/>
                <w:sz w:val="17"/>
              </w:rPr>
              <w:t>C:\Users\clive\Documents\Codex\2026-07-14\ok-continu\outputs\bbn_lithium_full_cmb_nuisance_20260821\qualification_audit_combined_ess_topup</w:t>
            </w:r>
          </w:p>
        </w:tc>
      </w:tr>
      <w:tr>
        <w:tc>
          <w:tcPr>
            <w:tcW w:type="dxa" w:w="5227"/>
            <w:vAlign w:val="top"/>
          </w:tcPr>
          <w:p>
            <w:r/>
            <w:r>
              <w:rPr>
                <w:b w:val="0"/>
                <w:sz w:val="17"/>
              </w:rPr>
              <w:t>Post-process folder</w:t>
            </w:r>
          </w:p>
        </w:tc>
        <w:tc>
          <w:tcPr>
            <w:tcW w:type="dxa" w:w="5227"/>
            <w:vAlign w:val="top"/>
          </w:tcPr>
          <w:p>
            <w:r/>
            <w:r>
              <w:rPr>
                <w:b w:val="0"/>
                <w:sz w:val="17"/>
              </w:rPr>
              <w:t>C:\Users\clive\Documents\Codex\2026-07-14\ok-continu\outputs\bbn_lithium_full_cmb_nuisance_20260821\postprocess</w:t>
            </w:r>
          </w:p>
        </w:tc>
      </w:tr>
      <w:tr>
        <w:tc>
          <w:tcPr>
            <w:tcW w:type="dxa" w:w="5227"/>
            <w:vAlign w:val="top"/>
          </w:tcPr>
          <w:p>
            <w:r/>
            <w:r>
              <w:rPr>
                <w:b w:val="0"/>
                <w:sz w:val="17"/>
              </w:rPr>
              <w:t>GitHub project</w:t>
            </w:r>
          </w:p>
        </w:tc>
        <w:tc>
          <w:tcPr>
            <w:tcW w:type="dxa" w:w="5227"/>
            <w:vAlign w:val="top"/>
          </w:tcPr>
          <w:p>
            <w:r/>
            <w:r>
              <w:rPr>
                <w:b w:val="0"/>
                <w:sz w:val="17"/>
              </w:rPr>
              <w:t>https://github.com/cliveboyd/Cosmology</w:t>
            </w:r>
          </w:p>
        </w:tc>
      </w:tr>
      <w:tr>
        <w:tc>
          <w:tcPr>
            <w:tcW w:type="dxa" w:w="5227"/>
            <w:vAlign w:val="top"/>
          </w:tcPr>
          <w:p>
            <w:r/>
            <w:r>
              <w:rPr>
                <w:b w:val="0"/>
                <w:sz w:val="17"/>
              </w:rPr>
              <w:t>GitHub BBN code</w:t>
            </w:r>
          </w:p>
        </w:tc>
        <w:tc>
          <w:tcPr>
            <w:tcW w:type="dxa" w:w="5227"/>
            <w:vAlign w:val="top"/>
          </w:tcPr>
          <w:p>
            <w:r/>
            <w:r>
              <w:rPr>
                <w:b w:val="0"/>
                <w:sz w:val="17"/>
              </w:rPr>
              <w:t>https://github.com/cliveboyd/Cosmology/tree/main/github_export/code/bbn_lithium</w:t>
            </w:r>
          </w:p>
        </w:tc>
      </w:tr>
      <w:tr>
        <w:tc>
          <w:tcPr>
            <w:tcW w:type="dxa" w:w="5227"/>
            <w:vAlign w:val="top"/>
          </w:tcPr>
          <w:p>
            <w:r/>
            <w:r>
              <w:rPr>
                <w:b w:val="0"/>
                <w:sz w:val="17"/>
              </w:rPr>
              <w:t>GitHub papers</w:t>
            </w:r>
          </w:p>
        </w:tc>
        <w:tc>
          <w:tcPr>
            <w:tcW w:type="dxa" w:w="5227"/>
            <w:vAlign w:val="top"/>
          </w:tcPr>
          <w:p>
            <w:r/>
            <w:r>
              <w:rPr>
                <w:b w:val="0"/>
                <w:sz w:val="17"/>
              </w:rPr>
              <w:t>https://github.com/cliveboyd/Cosmology/tree/main/github_export/docs/papers</w:t>
            </w:r>
          </w:p>
        </w:tc>
      </w:tr>
    </w:tbl>
    <w:p/>
    <w:p>
      <w:pPr>
        <w:pStyle w:val="Heading1"/>
      </w:pPr>
      <w:r>
        <w:t>Appendix D. References</w:t>
      </w:r>
    </w:p>
    <w:p>
      <w:r>
        <w:t>1. Particle Data Group, Big-Bang Nucleosynthesis review, Review of Particle Physics (2024).</w:t>
      </w:r>
    </w:p>
    <w:p>
      <w:r>
        <w:t>2. B. D. Fields, The Primordial Lithium Problem, Annual Review of Nuclear and Particle Science 61, 47 (2011).</w:t>
      </w:r>
    </w:p>
    <w:p>
      <w:r>
        <w:t>3. R. H. Cyburt, B. D. Fields and K. A. Olive, A Bitter Pill: The Primordial Lithium Problem Worsens, JCAP 11, 012 (2008), arXiv:0808.2818.</w:t>
      </w:r>
    </w:p>
    <w:p>
      <w:r>
        <w:t>4. R. H. Cyburt et al., Big Bang Nucleosynthesis: 2015, Rev. Mod. Phys. 88, 015004.</w:t>
      </w:r>
    </w:p>
    <w:p>
      <w:r>
        <w:t>5. B. D. Fields et al., Big-Bang Nucleosynthesis After Planck, JCAP 03 (2020) 010.</w:t>
      </w:r>
    </w:p>
    <w:p>
      <w:r>
        <w:t>6. C. Pitrou, A. Coc, J.-P. Uzan and E. Vangioni, Precision Big Bang Nucleosynthesis with Improved Helium-4 Predictions, Phys. Rep. 754, 1-66 (2018).</w:t>
      </w:r>
    </w:p>
    <w:p>
      <w:r>
        <w:t>7. F. Spite and M. Spite, Abundance of lithium in unevolved halo stars and old disc stars, A&amp;A 115, 357 (1982).</w:t>
      </w:r>
    </w:p>
    <w:p>
      <w:r>
        <w:t>8. M. Spite and F. Spite, Lithium abundance at the formation of the Galaxy, Nature 297, 483-485 (1982).</w:t>
      </w:r>
    </w:p>
    <w:p>
      <w:r>
        <w:t>9. L. Sbordone et al., The metal-poor end of the Spite plateau. I. Stellar parameters, metallicities, and lithium abundances, A&amp;A 522, A26 (2010).</w:t>
      </w:r>
    </w:p>
    <w:p>
      <w:r>
        <w:t>10. S. G. Ryan, A critique of the Spite Plateau and the astration of primordial lithium, MNRAS 522, 1358-1376 (2023).</w:t>
      </w:r>
    </w:p>
    <w:p>
      <w:r>
        <w:t>11. R. J. Cooke et al., One percent determination of the primordial deuterium abundance, ApJ 855, 102.</w:t>
      </w:r>
    </w:p>
    <w:p>
      <w:r>
        <w:t>12. M. L. Giannotti et al., LINX: A Fast, Differentiable and Extensible Big Bang Nucleosynthesis Package (2024).</w:t>
      </w:r>
    </w:p>
    <w:p>
      <w:r>
        <w:t>13. Joint LINX collaboration, Cosmological Parameter Estimation with a Joint-Likelihood Analysis of the CMB and BBN (2024).</w:t>
      </w:r>
    </w:p>
    <w:p>
      <w:r>
        <w:t>14. P. F. Depta et al., ACROPOLIS: A generic Framework for Photodisintegration of Light elements, JCAP 03 (2021) 061.</w:t>
      </w:r>
    </w:p>
    <w:p>
      <w:r>
        <w:t>15. P. F. Depta et al., Updated BBN constraints on electromagnetic decays of MeV-scale particles (2020).</w:t>
      </w:r>
    </w:p>
    <w:p>
      <w:r>
        <w:t>16. K. Langhoff et al., New insights into axion freeze-in, JHEP 11 (2024) 166.</w:t>
      </w:r>
    </w:p>
    <w:p>
      <w:r>
        <w:t>17. E. Braaten and D. Segel, Neutrino energy loss from the plasma process at all temperatures and densities, Phys. Rev. D 48, 1478.</w:t>
      </w:r>
    </w:p>
    <w:p>
      <w:r>
        <w:t>18. D. J. Fixsen et al., The Cosmic Microwave Background Spectrum from the Full COBE FIRAS Data Set, ApJ 473, 576.</w:t>
      </w:r>
    </w:p>
    <w:p>
      <w:r>
        <w:t>19. R. Khatri and R. A. Sunyaev, Creation of the CMB spectrum: precise analytic solutions for the blackbody photosphere, JCAP 06 (2012) 038.</w:t>
      </w:r>
    </w:p>
    <w:p>
      <w:r>
        <w:t>20. Planck Collaboration, Planck 2018 results. VI. Cosmological parameters, A&amp;A 641, A6 (2020).</w:t>
      </w:r>
    </w:p>
    <w:p>
      <w:r>
        <w:t>21. G. Efstathiou and S. Gratton, A detailed description of the CamSpec likelihood pipeline and a reanalysis of the Planck high frequency maps, MNRAS 496, L91 (2020); PR4 update.</w:t>
      </w:r>
    </w:p>
    <w:p>
      <w:r>
        <w:t>22. J. Carron et al., Planck 2018 CMB lensing reconstruction from the final NPIPE data release.</w:t>
      </w:r>
    </w:p>
    <w:p>
      <w:r>
        <w:t>23. Spectroxide project implementation, numerical thermalisation and spectral-distortion framework (2026).</w:t>
      </w:r>
    </w:p>
    <w:sectPr w:rsidR="00FC693F" w:rsidRPr="0006063C" w:rsidSect="00034616">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BBN-Li investigation | Clive Stewart Boyd; David Ng | Generated 11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scientific paper BBN lithium August findings 2026-09-11</dc:title>
  <dc:subject/>
  <dc:creator>Clive Stewart Boyd; David Ng</dc:creator>
  <cp:keywords/>
  <dc:description>generated by python-docx</dc:description>
  <cp:lastModifiedBy/>
  <cp:revision>1</cp:revision>
  <dcterms:created xsi:type="dcterms:W3CDTF">2013-12-23T23:15:00Z</dcterms:created>
  <dcterms:modified xsi:type="dcterms:W3CDTF">2013-12-23T23:15:00Z</dcterms:modified>
  <cp:category/>
</cp:coreProperties>
</file>