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0263D"/>
            <w:tcMar>
              <w:top w:w="120" w:type="dxa"/>
              <w:start w:w="160" w:type="dxa"/>
              <w:bottom w:w="120" w:type="dxa"/>
              <w:end w:w="160" w:type="dxa"/>
            </w:tcMar>
          </w:tcPr>
          <w:p>
            <w:r>
              <w:rPr>
                <w:b/>
                <w:color w:val="FFFFFF"/>
                <w:sz w:val="18"/>
              </w:rPr>
              <w:t>DRAFT — SOLICITOR REVIEW REQUIRED</w:t>
            </w:r>
          </w:p>
        </w:tc>
      </w:tr>
    </w:tbl>
    <w:p>
      <w:pPr>
        <w:pStyle w:val="Title"/>
      </w:pPr>
      <w:r>
        <w:t>Regstead Founding Beta Terms</w:t>
      </w:r>
    </w:p>
    <w:p>
      <w:r>
        <w:rPr>
          <w:b/>
          <w:color w:val="168678"/>
          <w:sz w:val="24"/>
        </w:rPr>
        <w:t>Supplemental terms for the first founding customers</w:t>
      </w:r>
    </w:p>
    <w:p>
      <w:pPr>
        <w:pStyle w:val="SmallNote"/>
      </w:pPr>
      <w:r>
        <w:t>Version 1.0  |  Prepared 12 September 2026</w:t>
      </w:r>
    </w:p>
    <w:tbl>
      <w:tblPr>
        <w:tblW w:type="auto" w:w="0"/>
        <w:jc w:val="center"/>
        <w:tblLook w:firstColumn="1" w:firstRow="1" w:lastColumn="0" w:lastRow="0" w:noHBand="0" w:noVBand="1" w:val="04A0"/>
      </w:tblPr>
      <w:tblGrid>
        <w:gridCol w:w="9994"/>
      </w:tblGrid>
      <w:tr>
        <w:tc>
          <w:tcPr>
            <w:tcW w:type="dxa" w:w="9994"/>
            <w:shd w:fill="EFF4F5"/>
            <w:tcMar>
              <w:top w:w="110" w:type="dxa"/>
              <w:start w:w="130" w:type="dxa"/>
              <w:bottom w:w="110" w:type="dxa"/>
              <w:end w:w="130" w:type="dxa"/>
            </w:tcMar>
          </w:tcPr>
          <w:p>
            <w:r>
              <w:rPr>
                <w:color w:val="10263D"/>
                <w:sz w:val="18"/>
              </w:rPr>
              <w:t>These Beta Terms supplement the Regstead Terms of Service. If there is a conflict about the founding offer, these Beta Terms take precedence for that offer.</w:t>
            </w:r>
          </w:p>
        </w:tc>
      </w:tr>
    </w:tbl>
    <w:p>
      <w:pPr>
        <w:pStyle w:val="Heading1"/>
      </w:pPr>
      <w:r>
        <w:t>1. Founding cohort</w:t>
      </w:r>
    </w:p>
    <w:p>
      <w:r>
        <w:t>The founding offer is limited to the first 25 organisations accepted by Regstead. Participation is intended to help validate the product with real regulated-business workflows while giving founding customers preferential pricing.</w:t>
      </w:r>
    </w:p>
    <w:p>
      <w:pPr>
        <w:pStyle w:val="Heading1"/>
      </w:pPr>
      <w:r>
        <w:t>2. Founding price</w:t>
      </w:r>
    </w:p>
    <w:p>
      <w:r>
        <w:t>The founding subscription price is £9.95 per month plus VAT where applicable. The founding price remains available to that organisation while its subscription remains continuously active and in good standing.</w:t>
      </w:r>
    </w:p>
    <w:p>
      <w:r>
        <w:t>If the Customer cancels, allows the subscription to lapse or has it terminated for non-payment or material breach, the founding price is lost. A later subscription will be at the then-current price unless Regstead agrees otherwise in writing.</w:t>
      </w:r>
    </w:p>
    <w:p>
      <w:pPr>
        <w:pStyle w:val="Heading1"/>
      </w:pPr>
      <w:r>
        <w:t>3. What is included</w:t>
      </w:r>
    </w:p>
    <w:p>
      <w:pPr>
        <w:pStyle w:val="ListBullet"/>
      </w:pPr>
      <w:r>
        <w:t>One primary public website/domain, unless otherwise agreed.</w:t>
      </w:r>
    </w:p>
    <w:p>
      <w:pPr>
        <w:pStyle w:val="ListBullet"/>
      </w:pPr>
      <w:r>
        <w:t>Initial baseline scan and baseline report.</w:t>
      </w:r>
    </w:p>
    <w:p>
      <w:pPr>
        <w:pStyle w:val="ListBullet"/>
      </w:pPr>
      <w:r>
        <w:t>Recurring monitoring with a target cadence of at least weekly during the beta; actual scan timing may vary for technical or operational reasons.</w:t>
      </w:r>
    </w:p>
    <w:p>
      <w:pPr>
        <w:pStyle w:val="ListBullet"/>
      </w:pPr>
      <w:r>
        <w:t>Regulatory Surface and selected sector-specific monitoring where available.</w:t>
      </w:r>
    </w:p>
    <w:p>
      <w:pPr>
        <w:pStyle w:val="ListBullet"/>
      </w:pPr>
      <w:r>
        <w:t>Change history, website-health findings and document/form monitoring supported by the current product.</w:t>
      </w:r>
    </w:p>
    <w:p>
      <w:pPr>
        <w:pStyle w:val="ListBullet"/>
      </w:pPr>
      <w:r>
        <w:t>Email alerts or summaries where enabled and technically available.</w:t>
      </w:r>
    </w:p>
    <w:p>
      <w:pPr>
        <w:pStyle w:val="ListBullet"/>
      </w:pPr>
      <w:r>
        <w:t>Reasonable founder support and an opportunity to provide product feedback.</w:t>
      </w:r>
    </w:p>
    <w:p>
      <w:pPr>
        <w:pStyle w:val="Heading1"/>
      </w:pPr>
      <w:r>
        <w:t>4. Beta status and product changes</w:t>
      </w:r>
    </w:p>
    <w:p>
      <w:r>
        <w:t>The Customer acknowledges that Regstead is in an early commercial beta. Features, reports, rule wording, detection logic, interfaces and scan coverage may change as the product is validated. Regstead may correct or withdraw an unreliable detector rather than preserve a feature that creates avoidable false positives.</w:t>
      </w:r>
    </w:p>
    <w:p>
      <w:pPr>
        <w:pStyle w:val="Heading1"/>
      </w:pPr>
      <w:r>
        <w:t>5. No compliance certification</w:t>
      </w:r>
    </w:p>
    <w:p>
      <w:r>
        <w:t>The beta does not certify SRA compliance or any other legal or regulatory compliance. Regstead reports observable public signals and changes. The Customer remains responsible for legal, regulatory and professional decisions.</w:t>
      </w:r>
    </w:p>
    <w:p>
      <w:pPr>
        <w:pStyle w:val="Heading1"/>
      </w:pPr>
      <w:r>
        <w:t>6. Feedback</w:t>
      </w:r>
    </w:p>
    <w:p>
      <w:r>
        <w:t>The Customer is encouraged to provide practical feedback on usefulness, false positives, missed information, report clarity and workflow. Regstead may use non-confidential feedback without restriction to improve the product. Regstead will not publicly identify the Customer, use its logo or publish a testimonial/case study without separate permission.</w:t>
      </w:r>
    </w:p>
    <w:p>
      <w:pPr>
        <w:pStyle w:val="Heading1"/>
      </w:pPr>
      <w:r>
        <w:t>7. Cancellation and refunds</w:t>
      </w:r>
    </w:p>
    <w:p>
      <w:r>
        <w:t>The Customer may cancel at any time. Unless otherwise agreed, cancellation takes effect at the end of the current paid billing period and monitoring continues until then. Partial-period refunds are not normally provided except where required by law or expressly agreed.</w:t>
      </w:r>
    </w:p>
    <w:p>
      <w:pPr>
        <w:pStyle w:val="Heading1"/>
      </w:pPr>
      <w:r>
        <w:t>8. Support and service levels</w:t>
      </w:r>
    </w:p>
    <w:p>
      <w:r>
        <w:t>The beta is provided without a formal uptime or response-time SLA. Regstead will use reasonable efforts to investigate material service problems reported by founding customers.</w:t>
      </w:r>
    </w:p>
    <w:p>
      <w:pPr>
        <w:pStyle w:val="Heading1"/>
      </w:pPr>
      <w:r>
        <w:t>9. Data and confidentiality</w:t>
      </w:r>
    </w:p>
    <w:p>
      <w:r>
        <w:t>Regstead's Privacy Notice applies. If the Customer shares non-public information during onboarding or feedback, both parties will treat information that is clearly confidential as confidential in accordance with the main Terms.</w:t>
      </w:r>
    </w:p>
    <w:p>
      <w:pPr>
        <w:pStyle w:val="Heading1"/>
      </w:pPr>
      <w:r>
        <w:t>10. End of beta</w:t>
      </w:r>
    </w:p>
    <w:p>
      <w:r>
        <w:t>Regstead may declare the founding beta complete and move the Customer to the generally available version of the product while preserving the founding subscription price, provided the subscription remains continuously active. Materially different add-on services introduced later may be priced separately.</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66675"/>
        <w:sz w:val="15"/>
      </w:rPr>
      <w:t>DRAFT — SOLICITOR REVIEW REQUIRED   |   [REGSTEAD LEGAL ENTITY NAME]</w:t>
    </w:r>
  </w:p>
  <w:p>
    <w:pPr>
      <w:jc w:val="right"/>
    </w:pPr>
    <w:r>
      <w:rPr>
        <w:color w:val="56667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912"/>
      <w:gridCol w:w="3168"/>
    </w:tblGrid>
    <w:tr>
      <w:tc>
        <w:tcPr>
          <w:tcW w:type="dxa" w:w="5040"/>
        </w:tcPr>
        <w:p>
          <w:pPr>
            <w:jc w:val="left"/>
          </w:pPr>
          <w:r>
            <w:drawing>
              <wp:inline xmlns:a="http://schemas.openxmlformats.org/drawingml/2006/main" xmlns:pic="http://schemas.openxmlformats.org/drawingml/2006/picture">
                <wp:extent cx="1417320" cy="445852"/>
                <wp:docPr id="1" name="Picture 1"/>
                <wp:cNvGraphicFramePr>
                  <a:graphicFrameLocks noChangeAspect="1"/>
                </wp:cNvGraphicFramePr>
                <a:graphic>
                  <a:graphicData uri="http://schemas.openxmlformats.org/drawingml/2006/picture">
                    <pic:pic>
                      <pic:nvPicPr>
                        <pic:cNvPr id="0" name="logo_clean.png"/>
                        <pic:cNvPicPr/>
                      </pic:nvPicPr>
                      <pic:blipFill>
                        <a:blip r:embed="rId1"/>
                        <a:stretch>
                          <a:fillRect/>
                        </a:stretch>
                      </pic:blipFill>
                      <pic:spPr>
                        <a:xfrm>
                          <a:off x="0" y="0"/>
                          <a:ext cx="1417320" cy="445852"/>
                        </a:xfrm>
                        <a:prstGeom prst="rect"/>
                      </pic:spPr>
                    </pic:pic>
                  </a:graphicData>
                </a:graphic>
              </wp:inline>
            </w:drawing>
          </w:r>
        </w:p>
      </w:tc>
      <w:tc>
        <w:tcPr>
          <w:tcW w:type="dxa" w:w="5040"/>
        </w:tcPr>
        <w:p>
          <w:pPr>
            <w:jc w:val="right"/>
          </w:pPr>
          <w:r>
            <w:rPr>
              <w:b/>
              <w:color w:val="168678"/>
              <w:sz w:val="15"/>
            </w:rPr>
            <w:t>MONITOR WHAT MATTERS.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026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63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6867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0263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026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56667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