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94"/>
      </w:tblGrid>
      <w:tr>
        <w:tc>
          <w:tcPr>
            <w:tcW w:type="dxa" w:w="9994"/>
            <w:shd w:fill="10263D"/>
            <w:tcMar>
              <w:top w:w="120" w:type="dxa"/>
              <w:start w:w="160" w:type="dxa"/>
              <w:bottom w:w="120" w:type="dxa"/>
              <w:end w:w="160" w:type="dxa"/>
            </w:tcMar>
          </w:tcPr>
          <w:p>
            <w:r>
              <w:rPr>
                <w:b/>
                <w:color w:val="FFFFFF"/>
                <w:sz w:val="18"/>
              </w:rPr>
              <w:t>DRAFT — SOLICITOR REVIEW REQUIRED</w:t>
            </w:r>
          </w:p>
        </w:tc>
      </w:tr>
    </w:tbl>
    <w:p>
      <w:pPr>
        <w:pStyle w:val="Title"/>
      </w:pPr>
      <w:r>
        <w:t>Regstead Legal Launch Review Notes</w:t>
      </w:r>
    </w:p>
    <w:p>
      <w:r>
        <w:rPr>
          <w:b/>
          <w:color w:val="168678"/>
          <w:sz w:val="24"/>
        </w:rPr>
        <w:t>Issues to confirm before taking live payments or beginning outbound campaigns</w:t>
      </w:r>
    </w:p>
    <w:p>
      <w:pPr>
        <w:pStyle w:val="SmallNote"/>
      </w:pPr>
      <w:r>
        <w:t>Version 1.0  |  Prepared 12 September 2026</w:t>
      </w:r>
    </w:p>
    <w:tbl>
      <w:tblPr>
        <w:tblW w:type="auto" w:w="0"/>
        <w:jc w:val="center"/>
        <w:tblLook w:firstColumn="1" w:firstRow="1" w:lastColumn="0" w:lastRow="0" w:noHBand="0" w:noVBand="1" w:val="04A0"/>
      </w:tblPr>
      <w:tblGrid>
        <w:gridCol w:w="9994"/>
      </w:tblGrid>
      <w:tr>
        <w:tc>
          <w:tcPr>
            <w:tcW w:type="dxa" w:w="9994"/>
            <w:shd w:fill="EFF4F5"/>
            <w:tcMar>
              <w:top w:w="110" w:type="dxa"/>
              <w:start w:w="130" w:type="dxa"/>
              <w:bottom w:w="110" w:type="dxa"/>
              <w:end w:w="130" w:type="dxa"/>
            </w:tcMar>
          </w:tcPr>
          <w:p>
            <w:r>
              <w:rPr>
                <w:color w:val="10263D"/>
                <w:sz w:val="18"/>
              </w:rPr>
              <w:t>Internal working document. This is not customer-facing. It records the assumptions used in the draft legal pack and the items a UK solicitor/privacy adviser should confirm.</w:t>
            </w:r>
          </w:p>
        </w:tc>
      </w:tr>
    </w:tbl>
    <w:p>
      <w:pPr>
        <w:pStyle w:val="Heading1"/>
      </w:pPr>
      <w:r>
        <w:t>1. Corporate and contracting identity</w:t>
      </w:r>
    </w:p>
    <w:p>
      <w:pPr>
        <w:pStyle w:val="ListBullet"/>
      </w:pPr>
      <w:r>
        <w:t>Incorporate/confirm the legal entity that will own the Regstead IP and contract with customers.</w:t>
      </w:r>
    </w:p>
    <w:p>
      <w:pPr>
        <w:pStyle w:val="ListBullet"/>
      </w:pPr>
      <w:r>
        <w:t>Insert registered name, company number, registered office, legal/privacy email and website URL in every document.</w:t>
      </w:r>
    </w:p>
    <w:p>
      <w:pPr>
        <w:pStyle w:val="ListBullet"/>
      </w:pPr>
      <w:r>
        <w:t>Confirm ownership or assignment of pre-incorporation code, branding, domains and other IP to the company.</w:t>
      </w:r>
    </w:p>
    <w:p>
      <w:pPr>
        <w:pStyle w:val="ListBullet"/>
      </w:pPr>
      <w:r>
        <w:t>Decide whether “Regstead” is the company name, trading name or product brand.</w:t>
      </w:r>
    </w:p>
    <w:p>
      <w:pPr>
        <w:pStyle w:val="Heading1"/>
      </w:pPr>
      <w:r>
        <w:t>2. Product scope and customer eligibility</w:t>
      </w:r>
    </w:p>
    <w:p>
      <w:pPr>
        <w:pStyle w:val="ListBullet"/>
      </w:pPr>
      <w:r>
        <w:t>Confirm launch is B2B only and prevent accidental consumer sign-up if that remains the strategy.</w:t>
      </w:r>
    </w:p>
    <w:p>
      <w:pPr>
        <w:pStyle w:val="ListBullet"/>
      </w:pPr>
      <w:r>
        <w:t>Confirm the exact scan cadence, account features, alert channels, domain limits and retention behaviour before publishing promises.</w:t>
      </w:r>
    </w:p>
    <w:p>
      <w:pPr>
        <w:pStyle w:val="ListBullet"/>
      </w:pPr>
      <w:r>
        <w:t>Confirm whether PDFs are parsed, browser rendering is used, AI is used, and whether any feature creates automated decisions about individuals; update notices accordingly.</w:t>
      </w:r>
    </w:p>
    <w:p>
      <w:pPr>
        <w:pStyle w:val="ListBullet"/>
      </w:pPr>
      <w:r>
        <w:t>Keep the “monitoring, not compliance certification” boundary consistent across sales copy, reports, product UI and contracts.</w:t>
      </w:r>
    </w:p>
    <w:p>
      <w:pPr>
        <w:pStyle w:val="Heading1"/>
      </w:pPr>
      <w:r>
        <w:t>3. UK data protection and privacy</w:t>
      </w:r>
    </w:p>
    <w:p>
      <w:pPr>
        <w:pStyle w:val="ListBullet"/>
      </w:pPr>
      <w:r>
        <w:t>Complete a data-flow map: account data, prospect data, public website observations, scan logs, payments, support, analytics, alerts and backups.</w:t>
      </w:r>
    </w:p>
    <w:p>
      <w:pPr>
        <w:pStyle w:val="ListBullet"/>
      </w:pPr>
      <w:r>
        <w:t>Choose/document lawful bases for each processing purpose and complete a Legitimate Interests Assessment for public-source B2B prospecting and any personal data collected from monitored pages.</w:t>
      </w:r>
    </w:p>
    <w:p>
      <w:pPr>
        <w:pStyle w:val="ListBullet"/>
      </w:pPr>
      <w:r>
        <w:t>Ensure Article 14 privacy information is surfaced at first outreach when named contacts were obtained from public sources, and no later than the applicable legal deadline unless an exemption genuinely applies.</w:t>
      </w:r>
    </w:p>
    <w:p>
      <w:pPr>
        <w:pStyle w:val="ListBullet"/>
      </w:pPr>
      <w:r>
        <w:t>Publish a current list of subprocessors and put appropriate processor terms in place with suppliers.</w:t>
      </w:r>
    </w:p>
    <w:p>
      <w:pPr>
        <w:pStyle w:val="ListBullet"/>
      </w:pPr>
      <w:r>
        <w:t>Document retention periods and deletion/anonymisation workflows rather than relying on vague indefinite retention.</w:t>
      </w:r>
    </w:p>
    <w:p>
      <w:pPr>
        <w:pStyle w:val="ListBullet"/>
      </w:pPr>
      <w:r>
        <w:t>Assess whether Regstead must pay the ICO data-protection fee using the ICO self-assessment.</w:t>
      </w:r>
    </w:p>
    <w:p>
      <w:pPr>
        <w:pStyle w:val="ListBullet"/>
      </w:pPr>
      <w:r>
        <w:t>Create an incident/breach response process and rights-request workflow.</w:t>
      </w:r>
    </w:p>
    <w:p>
      <w:pPr>
        <w:pStyle w:val="Heading1"/>
      </w:pPr>
      <w:r>
        <w:t>4. Outbound marketing controls</w:t>
      </w:r>
    </w:p>
    <w:p>
      <w:pPr>
        <w:pStyle w:val="ListBullet"/>
      </w:pPr>
      <w:r>
        <w:t>Classify each prospect as corporate subscriber versus sole trader/ordinary partnership before unsolicited email where practical.</w:t>
      </w:r>
    </w:p>
    <w:p>
      <w:pPr>
        <w:pStyle w:val="ListBullet"/>
      </w:pPr>
      <w:r>
        <w:t>For limited companies/LLPs, PECR electronic-mail consent is generally not required, but personal-data rules still apply to named contacts.</w:t>
      </w:r>
    </w:p>
    <w:p>
      <w:pPr>
        <w:pStyle w:val="ListBullet"/>
      </w:pPr>
      <w:r>
        <w:t>If subscriber status is uncertain, use the safer individual-subscriber approach.</w:t>
      </w:r>
    </w:p>
    <w:p>
      <w:pPr>
        <w:pStyle w:val="ListBullet"/>
      </w:pPr>
      <w:r>
        <w:t>Every outreach email should identify Regstead/its legal entity and provide a simple opt-out route.</w:t>
      </w:r>
    </w:p>
    <w:p>
      <w:pPr>
        <w:pStyle w:val="ListBullet"/>
      </w:pPr>
      <w:r>
        <w:t>Maintain a suppression list and screen future campaigns against it.</w:t>
      </w:r>
    </w:p>
    <w:p>
      <w:pPr>
        <w:pStyle w:val="ListBullet"/>
      </w:pPr>
      <w:r>
        <w:t>Do not use tracking pixels in outbound emails until the privacy/PECR implications have been expressly reviewed.</w:t>
      </w:r>
    </w:p>
    <w:p>
      <w:pPr>
        <w:pStyle w:val="Heading1"/>
      </w:pPr>
      <w:r>
        <w:t>5. Cookies and website analytics</w:t>
      </w:r>
    </w:p>
    <w:p>
      <w:pPr>
        <w:pStyle w:val="ListBullet"/>
      </w:pPr>
      <w:r>
        <w:t>Inventory cookies/local storage/pixels before launch.</w:t>
      </w:r>
    </w:p>
    <w:p>
      <w:pPr>
        <w:pStyle w:val="ListBullet"/>
      </w:pPr>
      <w:r>
        <w:t>Do not set non-essential analytics/advertising cookies before valid consent where consent is required.</w:t>
      </w:r>
    </w:p>
    <w:p>
      <w:pPr>
        <w:pStyle w:val="ListBullet"/>
      </w:pPr>
      <w:r>
        <w:t>Use a cookie banner that allows reject as well as accept, and publish a cookie notice listing actual technologies and durations.</w:t>
      </w:r>
    </w:p>
    <w:p>
      <w:pPr>
        <w:pStyle w:val="ListBullet"/>
      </w:pPr>
      <w:r>
        <w:t>Avoid loading unnecessary third-party trackers on the free-scan page.</w:t>
      </w:r>
    </w:p>
    <w:p>
      <w:pPr>
        <w:pStyle w:val="Heading1"/>
      </w:pPr>
      <w:r>
        <w:t>6. Commercial terms and liability</w:t>
      </w:r>
    </w:p>
    <w:p>
      <w:pPr>
        <w:pStyle w:val="ListBullet"/>
      </w:pPr>
      <w:r>
        <w:t>Have counsel review the proposed liability cap (greater of £500 or 12 months fees) for reasonableness and insurance alignment.</w:t>
      </w:r>
    </w:p>
    <w:p>
      <w:pPr>
        <w:pStyle w:val="ListBullet"/>
      </w:pPr>
      <w:r>
        <w:t>Confirm exclusions of indirect loss, regulatory reliance and free-scan reliance are appropriate.</w:t>
      </w:r>
    </w:p>
    <w:p>
      <w:pPr>
        <w:pStyle w:val="ListBullet"/>
      </w:pPr>
      <w:r>
        <w:t>Align refund/cancellation wording with Stripe/payment-provider configuration.</w:t>
      </w:r>
    </w:p>
    <w:p>
      <w:pPr>
        <w:pStyle w:val="ListBullet"/>
      </w:pPr>
      <w:r>
        <w:t>Confirm VAT treatment and invoice requirements.</w:t>
      </w:r>
    </w:p>
    <w:p>
      <w:pPr>
        <w:pStyle w:val="ListBullet"/>
      </w:pPr>
      <w:r>
        <w:t>Confirm governing law/jurisdiction and any customer-specific procurement terms for larger firms.</w:t>
      </w:r>
    </w:p>
    <w:p>
      <w:pPr>
        <w:pStyle w:val="Heading1"/>
      </w:pPr>
      <w:r>
        <w:t>7. Security and supplier contracts</w:t>
      </w:r>
    </w:p>
    <w:p>
      <w:pPr>
        <w:pStyle w:val="ListBullet"/>
      </w:pPr>
      <w:r>
        <w:t>Document baseline security controls: access management, secrets, encryption, backups, patching, logging and incident handling.</w:t>
      </w:r>
    </w:p>
    <w:p>
      <w:pPr>
        <w:pStyle w:val="ListBullet"/>
      </w:pPr>
      <w:r>
        <w:t>Ensure vendor contracts/DPA terms cover hosting, email, payments, analytics and customer support.</w:t>
      </w:r>
    </w:p>
    <w:p>
      <w:pPr>
        <w:pStyle w:val="ListBullet"/>
      </w:pPr>
      <w:r>
        <w:t>Define who can access customer scan history and prospect/contact data.</w:t>
      </w:r>
    </w:p>
    <w:p>
      <w:pPr>
        <w:pStyle w:val="ListBullet"/>
      </w:pPr>
      <w:r>
        <w:t>Consider Cyber Essentials once the production stack is established.</w:t>
      </w:r>
    </w:p>
    <w:p>
      <w:pPr>
        <w:pStyle w:val="Heading1"/>
      </w:pPr>
      <w:r>
        <w:t>8. Documents to publish at launch</w:t>
      </w:r>
    </w:p>
    <w:p>
      <w:pPr>
        <w:pStyle w:val="ListBullet"/>
      </w:pPr>
      <w:r>
        <w:t>Terms of Service.</w:t>
      </w:r>
    </w:p>
    <w:p>
      <w:pPr>
        <w:pStyle w:val="ListBullet"/>
      </w:pPr>
      <w:r>
        <w:t>Privacy Notice.</w:t>
      </w:r>
    </w:p>
    <w:p>
      <w:pPr>
        <w:pStyle w:val="ListBullet"/>
      </w:pPr>
      <w:r>
        <w:t>Free Scan Terms or concise notice linked to full terms.</w:t>
      </w:r>
    </w:p>
    <w:p>
      <w:pPr>
        <w:pStyle w:val="ListBullet"/>
      </w:pPr>
      <w:r>
        <w:t>Cookie notice/banner if non-essential cookies are used.</w:t>
      </w:r>
    </w:p>
    <w:p>
      <w:pPr>
        <w:pStyle w:val="ListBullet"/>
      </w:pPr>
      <w:r>
        <w:t>Founding Beta Terms for founding customers.</w:t>
      </w:r>
    </w:p>
    <w:p>
      <w:pPr>
        <w:pStyle w:val="ListBullet"/>
      </w:pPr>
      <w:r>
        <w:t>Optional DPA/data-processing addendum if customer-instructed personal-data processing is introduced.</w:t>
      </w:r>
    </w:p>
    <w:p>
      <w:pPr>
        <w:pStyle w:val="ListBullet"/>
      </w:pPr>
      <w:r>
        <w:t>A simple legal/footer identity block showing the contracting entity and contact details.</w:t>
      </w:r>
    </w:p>
    <w:p>
      <w:pPr>
        <w:pStyle w:val="Heading1"/>
      </w:pPr>
      <w:r>
        <w:t>9. Current guidance used for this draft</w:t>
      </w:r>
    </w:p>
    <w:p>
      <w:pPr>
        <w:spacing w:after="40"/>
      </w:pPr>
      <w:r>
        <w:rPr>
          <w:sz w:val="17"/>
        </w:rPr>
        <w:t>ICO guidance reviewed in September 2026 includes the right to be informed, lawful bases and legitimate interests, B2B direct marketing, electronic-mail marketing, cookies/similar technologies and the data-protection fee. The ICO has updated several areas following the Data (Use and Access) Act 2025, so final legal review should use the then-current guidance.</w:t>
      </w:r>
    </w:p>
    <w:p>
      <w:pPr>
        <w:spacing w:after="40"/>
      </w:pPr>
      <w:r>
        <w:rPr>
          <w:sz w:val="17"/>
        </w:rPr>
        <w:t>Key guidance links for counsel/review:</w:t>
      </w:r>
    </w:p>
    <w:p>
      <w:pPr>
        <w:pStyle w:val="ListBullet"/>
        <w:spacing w:after="0" w:line="204" w:lineRule="auto"/>
      </w:pPr>
      <w:r>
        <w:rPr>
          <w:sz w:val="14"/>
        </w:rPr>
        <w:t>https://ico.org.uk/for-organisations/uk-gdpr-guidance-and-resources/individual-rights/the-right-to-be-informed/</w:t>
      </w:r>
    </w:p>
    <w:p>
      <w:pPr>
        <w:pStyle w:val="ListBullet"/>
        <w:spacing w:after="0" w:line="204" w:lineRule="auto"/>
      </w:pPr>
      <w:r>
        <w:rPr>
          <w:sz w:val="14"/>
        </w:rPr>
        <w:t>https://ico.org.uk/for-organisations/uk-gdpr-guidance-and-resources/lawful-basis/</w:t>
      </w:r>
    </w:p>
    <w:p>
      <w:pPr>
        <w:pStyle w:val="ListBullet"/>
        <w:spacing w:after="0" w:line="204" w:lineRule="auto"/>
      </w:pPr>
      <w:r>
        <w:rPr>
          <w:sz w:val="14"/>
        </w:rPr>
        <w:t>https://ico.org.uk/for-organisations/direct-marketing-and-privacy-and-electronic-communications/business-to-business-marketing/</w:t>
      </w:r>
    </w:p>
    <w:p>
      <w:pPr>
        <w:pStyle w:val="ListBullet"/>
        <w:spacing w:after="0" w:line="204" w:lineRule="auto"/>
      </w:pPr>
      <w:r>
        <w:rPr>
          <w:sz w:val="14"/>
        </w:rPr>
        <w:t>https://ico.org.uk/for-organisations/direct-marketing-and-privacy-and-electronic-communications/guidance-on-direct-marketing-using-electronic-mail/</w:t>
      </w:r>
    </w:p>
    <w:p>
      <w:pPr>
        <w:pStyle w:val="ListBullet"/>
        <w:spacing w:after="0" w:line="204" w:lineRule="auto"/>
      </w:pPr>
      <w:r>
        <w:rPr>
          <w:sz w:val="14"/>
        </w:rPr>
        <w:t>https://ico.org.uk/for-organisations/direct-marketing-and-privacy-and-electronic-communications/guide-to-pecr/cookies-and-similar-technologies/</w:t>
      </w:r>
    </w:p>
    <w:p>
      <w:pPr>
        <w:pStyle w:val="ListBullet"/>
        <w:spacing w:after="0" w:line="204" w:lineRule="auto"/>
      </w:pPr>
      <w:r>
        <w:rPr>
          <w:sz w:val="14"/>
        </w:rPr>
        <w:t>https://ico.org.uk/for-organisations/data-protection-fee/data-protection-fee/</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66675"/>
        <w:sz w:val="15"/>
      </w:rPr>
      <w:t>DRAFT — SOLICITOR REVIEW REQUIRED   |   [REGSTEAD LEGAL ENTITY NAME]</w:t>
    </w:r>
  </w:p>
  <w:p>
    <w:pPr>
      <w:jc w:val="right"/>
    </w:pPr>
    <w:r>
      <w:rPr>
        <w:color w:val="566675"/>
        <w:sz w:val="15"/>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6912"/>
      <w:gridCol w:w="3168"/>
    </w:tblGrid>
    <w:tr>
      <w:tc>
        <w:tcPr>
          <w:tcW w:type="dxa" w:w="5040"/>
        </w:tcPr>
        <w:p>
          <w:pPr>
            <w:jc w:val="left"/>
          </w:pPr>
          <w:r>
            <w:drawing>
              <wp:inline xmlns:a="http://schemas.openxmlformats.org/drawingml/2006/main" xmlns:pic="http://schemas.openxmlformats.org/drawingml/2006/picture">
                <wp:extent cx="1417320" cy="445852"/>
                <wp:docPr id="1" name="Picture 1"/>
                <wp:cNvGraphicFramePr>
                  <a:graphicFrameLocks noChangeAspect="1"/>
                </wp:cNvGraphicFramePr>
                <a:graphic>
                  <a:graphicData uri="http://schemas.openxmlformats.org/drawingml/2006/picture">
                    <pic:pic>
                      <pic:nvPicPr>
                        <pic:cNvPr id="0" name="logo_clean.png"/>
                        <pic:cNvPicPr/>
                      </pic:nvPicPr>
                      <pic:blipFill>
                        <a:blip r:embed="rId1"/>
                        <a:stretch>
                          <a:fillRect/>
                        </a:stretch>
                      </pic:blipFill>
                      <pic:spPr>
                        <a:xfrm>
                          <a:off x="0" y="0"/>
                          <a:ext cx="1417320" cy="445852"/>
                        </a:xfrm>
                        <a:prstGeom prst="rect"/>
                      </pic:spPr>
                    </pic:pic>
                  </a:graphicData>
                </a:graphic>
              </wp:inline>
            </w:drawing>
          </w:r>
        </w:p>
      </w:tc>
      <w:tc>
        <w:tcPr>
          <w:tcW w:type="dxa" w:w="5040"/>
        </w:tcPr>
        <w:p>
          <w:pPr>
            <w:jc w:val="right"/>
          </w:pPr>
          <w:r>
            <w:rPr>
              <w:b/>
              <w:color w:val="168678"/>
              <w:sz w:val="15"/>
            </w:rPr>
            <w:t>MONITOR WHAT MATTERS.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026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0263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68678"/>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0263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026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56667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