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0263D"/>
            <w:tcMar>
              <w:top w:w="120" w:type="dxa"/>
              <w:start w:w="160" w:type="dxa"/>
              <w:bottom w:w="120" w:type="dxa"/>
              <w:end w:w="160" w:type="dxa"/>
            </w:tcMar>
          </w:tcPr>
          <w:p>
            <w:r>
              <w:rPr>
                <w:b/>
                <w:color w:val="FFFFFF"/>
                <w:sz w:val="18"/>
              </w:rPr>
              <w:t>DRAFT — SOLICITOR REVIEW REQUIRED</w:t>
            </w:r>
          </w:p>
        </w:tc>
      </w:tr>
    </w:tbl>
    <w:p>
      <w:pPr>
        <w:pStyle w:val="Title"/>
      </w:pPr>
      <w:r>
        <w:t>Regstead Privacy Notice</w:t>
      </w:r>
    </w:p>
    <w:p>
      <w:r>
        <w:rPr>
          <w:b/>
          <w:color w:val="168678"/>
          <w:sz w:val="24"/>
        </w:rPr>
        <w:t>How Regstead uses personal information</w:t>
      </w:r>
    </w:p>
    <w:p>
      <w:pPr>
        <w:pStyle w:val="SmallNote"/>
      </w:pPr>
      <w:r>
        <w:t>Version 1.0  |  Prepared 12 September 2026</w:t>
      </w:r>
    </w:p>
    <w:tbl>
      <w:tblPr>
        <w:tblW w:type="auto" w:w="0"/>
        <w:jc w:val="center"/>
        <w:tblLook w:firstColumn="1" w:firstRow="1" w:lastColumn="0" w:lastRow="0" w:noHBand="0" w:noVBand="1" w:val="04A0"/>
      </w:tblPr>
      <w:tblGrid>
        <w:gridCol w:w="9994"/>
      </w:tblGrid>
      <w:tr>
        <w:tc>
          <w:tcPr>
            <w:tcW w:type="dxa" w:w="9994"/>
            <w:shd w:fill="EFF4F5"/>
            <w:tcMar>
              <w:top w:w="110" w:type="dxa"/>
              <w:start w:w="130" w:type="dxa"/>
              <w:bottom w:w="110" w:type="dxa"/>
              <w:end w:w="130" w:type="dxa"/>
            </w:tcMar>
          </w:tcPr>
          <w:p>
            <w:r>
              <w:rPr>
                <w:color w:val="10263D"/>
                <w:sz w:val="18"/>
              </w:rPr>
              <w:t>This draft is written for a UK launch and includes account users, free-scan users, website visitors, business prospects and people whose business contact information appears on public websites. It must be aligned to the final technical stack before publication.</w:t>
            </w:r>
          </w:p>
        </w:tc>
      </w:tr>
    </w:tbl>
    <w:p>
      <w:r>
        <w:t>[REGSTEAD LEGAL ENTITY NAME] is the controller of personal information described in this notice, except where a separate agreement says we act only as a processor. Contact: [PRIVACY / LEGAL CONTACT EMAIL]. Registered office: [REGISTERED OFFICE ADDRESS].</w:t>
      </w:r>
    </w:p>
    <w:p>
      <w:pPr>
        <w:pStyle w:val="Heading1"/>
      </w:pPr>
      <w:r>
        <w:t>1. Information we may collect</w:t>
      </w:r>
    </w:p>
    <w:p>
      <w:pPr>
        <w:pStyle w:val="ListBullet"/>
      </w:pPr>
      <w:r>
        <w:t>Account and business contact information: name, work email, telephone number, organisation, role and billing contact details.</w:t>
      </w:r>
    </w:p>
    <w:p>
      <w:pPr>
        <w:pStyle w:val="ListBullet"/>
      </w:pPr>
      <w:r>
        <w:t>Payment information: transaction status, billing identifiers and limited payment metadata from our payment provider. Regstead should not store full card details.</w:t>
      </w:r>
    </w:p>
    <w:p>
      <w:pPr>
        <w:pStyle w:val="ListBullet"/>
      </w:pPr>
      <w:r>
        <w:t>Service configuration: websites, domains, monitored services, alert preferences and notes supplied by a customer.</w:t>
      </w:r>
    </w:p>
    <w:p>
      <w:pPr>
        <w:pStyle w:val="ListBullet"/>
      </w:pPr>
      <w:r>
        <w:t>Public website observations: public URLs, page titles, regulatory identifiers, published staff or business contact details, documents, forms and change history.</w:t>
      </w:r>
    </w:p>
    <w:p>
      <w:pPr>
        <w:pStyle w:val="ListBullet"/>
      </w:pPr>
      <w:r>
        <w:t>Technical information: IP address, browser/device data, security logs, timestamps, request metadata and diagnostic information.</w:t>
      </w:r>
    </w:p>
    <w:p>
      <w:pPr>
        <w:pStyle w:val="ListBullet"/>
      </w:pPr>
      <w:r>
        <w:t>Communications: support messages, feedback, survey responses and records of business correspondence.</w:t>
      </w:r>
    </w:p>
    <w:p>
      <w:pPr>
        <w:pStyle w:val="ListBullet"/>
      </w:pPr>
      <w:r>
        <w:t>Marketing and prospect information: professional contact details, source, outreach status, suppression/opt-out status and engagement information where lawfully used.</w:t>
      </w:r>
    </w:p>
    <w:p>
      <w:pPr>
        <w:pStyle w:val="ListBullet"/>
      </w:pPr>
      <w:r>
        <w:t>Cookie and analytics information where enabled and permitted.</w:t>
      </w:r>
    </w:p>
    <w:p>
      <w:pPr>
        <w:pStyle w:val="Heading1"/>
      </w:pPr>
      <w:r>
        <w:t>2. Where information comes from</w:t>
      </w:r>
    </w:p>
    <w:p>
      <w:pPr>
        <w:pStyle w:val="ListBullet"/>
      </w:pPr>
      <w:r>
        <w:t>Directly from you when you create an account, request a scan, contact us or become a customer.</w:t>
      </w:r>
    </w:p>
    <w:p>
      <w:pPr>
        <w:pStyle w:val="ListBullet"/>
      </w:pPr>
      <w:r>
        <w:t>From your organisation or an authorised colleague.</w:t>
      </w:r>
    </w:p>
    <w:p>
      <w:pPr>
        <w:pStyle w:val="ListBullet"/>
      </w:pPr>
      <w:r>
        <w:t>From publicly accessible business websites, professional profiles, regulatory registers or company information sources.</w:t>
      </w:r>
    </w:p>
    <w:p>
      <w:pPr>
        <w:pStyle w:val="ListBullet"/>
      </w:pPr>
      <w:r>
        <w:t>From service providers such as payment, hosting, email, security and analytics providers.</w:t>
      </w:r>
    </w:p>
    <w:p>
      <w:pPr>
        <w:pStyle w:val="Heading1"/>
      </w:pPr>
      <w:r>
        <w:t>3. Why we use information and our lawful bases</w:t>
      </w:r>
    </w:p>
    <w:tbl>
      <w:tblPr>
        <w:tblW w:type="auto" w:w="0"/>
        <w:jc w:val="center"/>
        <w:tblLook w:firstColumn="1" w:firstRow="1" w:lastColumn="0" w:lastRow="0" w:noHBand="0" w:noVBand="1" w:val="04A0"/>
      </w:tblPr>
      <w:tblGrid>
        <w:gridCol w:w="3331"/>
        <w:gridCol w:w="3331"/>
        <w:gridCol w:w="3331"/>
      </w:tblGrid>
      <w:tr>
        <w:tc>
          <w:tcPr>
            <w:tcW w:type="dxa" w:w="3331"/>
            <w:shd w:fill="10263D"/>
          </w:tcPr>
          <w:p>
            <w:r>
              <w:rPr>
                <w:b/>
                <w:color w:val="FFFFFF"/>
              </w:rPr>
              <w:t>Purpose</w:t>
            </w:r>
          </w:p>
        </w:tc>
        <w:tc>
          <w:tcPr>
            <w:tcW w:type="dxa" w:w="3331"/>
            <w:shd w:fill="10263D"/>
          </w:tcPr>
          <w:p>
            <w:r>
              <w:rPr>
                <w:b/>
                <w:color w:val="FFFFFF"/>
              </w:rPr>
              <w:t>Typical data</w:t>
            </w:r>
          </w:p>
        </w:tc>
        <w:tc>
          <w:tcPr>
            <w:tcW w:type="dxa" w:w="3331"/>
            <w:shd w:fill="10263D"/>
          </w:tcPr>
          <w:p>
            <w:r>
              <w:rPr>
                <w:b/>
                <w:color w:val="FFFFFF"/>
              </w:rPr>
              <w:t>Lawful basis</w:t>
            </w:r>
          </w:p>
        </w:tc>
      </w:tr>
      <w:tr>
        <w:tc>
          <w:tcPr>
            <w:tcW w:type="dxa" w:w="3331"/>
            <w:tcMar>
              <w:top w:w="80" w:type="dxa"/>
              <w:start w:w="100" w:type="dxa"/>
              <w:bottom w:w="80" w:type="dxa"/>
              <w:end w:w="100" w:type="dxa"/>
            </w:tcMar>
          </w:tcPr>
          <w:p>
            <w:r>
              <w:t>Provide scans, monitoring, reports, alerts, accounts and support</w:t>
            </w:r>
          </w:p>
        </w:tc>
        <w:tc>
          <w:tcPr>
            <w:tcW w:type="dxa" w:w="3331"/>
            <w:tcMar>
              <w:top w:w="80" w:type="dxa"/>
              <w:start w:w="100" w:type="dxa"/>
              <w:bottom w:w="80" w:type="dxa"/>
              <w:end w:w="100" w:type="dxa"/>
            </w:tcMar>
          </w:tcPr>
          <w:p>
            <w:r>
              <w:t>Account, configuration, communications, technical data</w:t>
            </w:r>
          </w:p>
        </w:tc>
        <w:tc>
          <w:tcPr>
            <w:tcW w:type="dxa" w:w="3331"/>
            <w:tcMar>
              <w:top w:w="80" w:type="dxa"/>
              <w:start w:w="100" w:type="dxa"/>
              <w:bottom w:w="80" w:type="dxa"/>
              <w:end w:w="100" w:type="dxa"/>
            </w:tcMar>
          </w:tcPr>
          <w:p>
            <w:r>
              <w:t>Contract; legitimate interests where the contract is with an organisation rather than the individual</w:t>
            </w:r>
          </w:p>
        </w:tc>
      </w:tr>
      <w:tr>
        <w:tc>
          <w:tcPr>
            <w:tcW w:type="dxa" w:w="3331"/>
            <w:tcMar>
              <w:top w:w="80" w:type="dxa"/>
              <w:start w:w="100" w:type="dxa"/>
              <w:bottom w:w="80" w:type="dxa"/>
              <w:end w:w="100" w:type="dxa"/>
            </w:tcMar>
          </w:tcPr>
          <w:p>
            <w:r>
              <w:t>Operate, secure, troubleshoot and improve Regstead</w:t>
            </w:r>
          </w:p>
        </w:tc>
        <w:tc>
          <w:tcPr>
            <w:tcW w:type="dxa" w:w="3331"/>
            <w:tcMar>
              <w:top w:w="80" w:type="dxa"/>
              <w:start w:w="100" w:type="dxa"/>
              <w:bottom w:w="80" w:type="dxa"/>
              <w:end w:w="100" w:type="dxa"/>
            </w:tcMar>
          </w:tcPr>
          <w:p>
            <w:r>
              <w:t>Technical logs, usage, service configuration, feedback</w:t>
            </w:r>
          </w:p>
        </w:tc>
        <w:tc>
          <w:tcPr>
            <w:tcW w:type="dxa" w:w="3331"/>
            <w:tcMar>
              <w:top w:w="80" w:type="dxa"/>
              <w:start w:w="100" w:type="dxa"/>
              <w:bottom w:w="80" w:type="dxa"/>
              <w:end w:w="100" w:type="dxa"/>
            </w:tcMar>
          </w:tcPr>
          <w:p>
            <w:r>
              <w:t>Legitimate interests in operating a secure, reliable product</w:t>
            </w:r>
          </w:p>
        </w:tc>
      </w:tr>
      <w:tr>
        <w:tc>
          <w:tcPr>
            <w:tcW w:type="dxa" w:w="3331"/>
            <w:tcMar>
              <w:top w:w="80" w:type="dxa"/>
              <w:start w:w="100" w:type="dxa"/>
              <w:bottom w:w="80" w:type="dxa"/>
              <w:end w:w="100" w:type="dxa"/>
            </w:tcMar>
          </w:tcPr>
          <w:p>
            <w:r>
              <w:t>Billing, accounting, tax and legal compliance</w:t>
            </w:r>
          </w:p>
        </w:tc>
        <w:tc>
          <w:tcPr>
            <w:tcW w:type="dxa" w:w="3331"/>
            <w:tcMar>
              <w:top w:w="80" w:type="dxa"/>
              <w:start w:w="100" w:type="dxa"/>
              <w:bottom w:w="80" w:type="dxa"/>
              <w:end w:w="100" w:type="dxa"/>
            </w:tcMar>
          </w:tcPr>
          <w:p>
            <w:r>
              <w:t>Business contact and transaction information</w:t>
            </w:r>
          </w:p>
        </w:tc>
        <w:tc>
          <w:tcPr>
            <w:tcW w:type="dxa" w:w="3331"/>
            <w:tcMar>
              <w:top w:w="80" w:type="dxa"/>
              <w:start w:w="100" w:type="dxa"/>
              <w:bottom w:w="80" w:type="dxa"/>
              <w:end w:w="100" w:type="dxa"/>
            </w:tcMar>
          </w:tcPr>
          <w:p>
            <w:r>
              <w:t>Contract; legal obligation</w:t>
            </w:r>
          </w:p>
        </w:tc>
      </w:tr>
      <w:tr>
        <w:tc>
          <w:tcPr>
            <w:tcW w:type="dxa" w:w="3331"/>
            <w:tcMar>
              <w:top w:w="80" w:type="dxa"/>
              <w:start w:w="100" w:type="dxa"/>
              <w:bottom w:w="80" w:type="dxa"/>
              <w:end w:w="100" w:type="dxa"/>
            </w:tcMar>
          </w:tcPr>
          <w:p>
            <w:r>
              <w:t>Build structured observations from public business websites</w:t>
            </w:r>
          </w:p>
        </w:tc>
        <w:tc>
          <w:tcPr>
            <w:tcW w:type="dxa" w:w="3331"/>
            <w:tcMar>
              <w:top w:w="80" w:type="dxa"/>
              <w:start w:w="100" w:type="dxa"/>
              <w:bottom w:w="80" w:type="dxa"/>
              <w:end w:w="100" w:type="dxa"/>
            </w:tcMar>
          </w:tcPr>
          <w:p>
            <w:r>
              <w:t>Public website information, which may include professional names/contact details</w:t>
            </w:r>
          </w:p>
        </w:tc>
        <w:tc>
          <w:tcPr>
            <w:tcW w:type="dxa" w:w="3331"/>
            <w:tcMar>
              <w:top w:w="80" w:type="dxa"/>
              <w:start w:w="100" w:type="dxa"/>
              <w:bottom w:w="80" w:type="dxa"/>
              <w:end w:w="100" w:type="dxa"/>
            </w:tcMar>
          </w:tcPr>
          <w:p>
            <w:r>
              <w:t>Legitimate interests in providing and improving website-monitoring services, subject to balancing and minimisation</w:t>
            </w:r>
          </w:p>
        </w:tc>
      </w:tr>
      <w:tr>
        <w:tc>
          <w:tcPr>
            <w:tcW w:type="dxa" w:w="3331"/>
            <w:tcMar>
              <w:top w:w="80" w:type="dxa"/>
              <w:start w:w="100" w:type="dxa"/>
              <w:bottom w:w="80" w:type="dxa"/>
              <w:end w:w="100" w:type="dxa"/>
            </w:tcMar>
          </w:tcPr>
          <w:p>
            <w:r>
              <w:t>B2B marketing and founding-customer outreach</w:t>
            </w:r>
          </w:p>
        </w:tc>
        <w:tc>
          <w:tcPr>
            <w:tcW w:type="dxa" w:w="3331"/>
            <w:tcMar>
              <w:top w:w="80" w:type="dxa"/>
              <w:start w:w="100" w:type="dxa"/>
              <w:bottom w:w="80" w:type="dxa"/>
              <w:end w:w="100" w:type="dxa"/>
            </w:tcMar>
          </w:tcPr>
          <w:p>
            <w:r>
              <w:t>Professional contact details, source, outreach/opt-out status</w:t>
            </w:r>
          </w:p>
        </w:tc>
        <w:tc>
          <w:tcPr>
            <w:tcW w:type="dxa" w:w="3331"/>
            <w:tcMar>
              <w:top w:w="80" w:type="dxa"/>
              <w:start w:w="100" w:type="dxa"/>
              <w:bottom w:w="80" w:type="dxa"/>
              <w:end w:w="100" w:type="dxa"/>
            </w:tcMar>
          </w:tcPr>
          <w:p>
            <w:r>
              <w:t>Legitimate interests where appropriate; consent where PECR or other law requires it</w:t>
            </w:r>
          </w:p>
        </w:tc>
      </w:tr>
      <w:tr>
        <w:tc>
          <w:tcPr>
            <w:tcW w:type="dxa" w:w="3331"/>
            <w:tcMar>
              <w:top w:w="80" w:type="dxa"/>
              <w:start w:w="100" w:type="dxa"/>
              <w:bottom w:w="80" w:type="dxa"/>
              <w:end w:w="100" w:type="dxa"/>
            </w:tcMar>
          </w:tcPr>
          <w:p>
            <w:r>
              <w:t>Non-essential cookies/analytics where used</w:t>
            </w:r>
          </w:p>
        </w:tc>
        <w:tc>
          <w:tcPr>
            <w:tcW w:type="dxa" w:w="3331"/>
            <w:tcMar>
              <w:top w:w="80" w:type="dxa"/>
              <w:start w:w="100" w:type="dxa"/>
              <w:bottom w:w="80" w:type="dxa"/>
              <w:end w:w="100" w:type="dxa"/>
            </w:tcMar>
          </w:tcPr>
          <w:p>
            <w:r>
              <w:t>Cookie identifiers, analytics events</w:t>
            </w:r>
          </w:p>
        </w:tc>
        <w:tc>
          <w:tcPr>
            <w:tcW w:type="dxa" w:w="3331"/>
            <w:tcMar>
              <w:top w:w="80" w:type="dxa"/>
              <w:start w:w="100" w:type="dxa"/>
              <w:bottom w:w="80" w:type="dxa"/>
              <w:end w:w="100" w:type="dxa"/>
            </w:tcMar>
          </w:tcPr>
          <w:p>
            <w:r>
              <w:t>Consent where required</w:t>
            </w:r>
          </w:p>
        </w:tc>
      </w:tr>
      <w:tr>
        <w:tc>
          <w:tcPr>
            <w:tcW w:type="dxa" w:w="3331"/>
            <w:tcMar>
              <w:top w:w="80" w:type="dxa"/>
              <w:start w:w="100" w:type="dxa"/>
              <w:bottom w:w="80" w:type="dxa"/>
              <w:end w:w="100" w:type="dxa"/>
            </w:tcMar>
          </w:tcPr>
          <w:p>
            <w:r>
              <w:t>Establish, exercise or defend legal claims</w:t>
            </w:r>
          </w:p>
        </w:tc>
        <w:tc>
          <w:tcPr>
            <w:tcW w:type="dxa" w:w="3331"/>
            <w:tcMar>
              <w:top w:w="80" w:type="dxa"/>
              <w:start w:w="100" w:type="dxa"/>
              <w:bottom w:w="80" w:type="dxa"/>
              <w:end w:w="100" w:type="dxa"/>
            </w:tcMar>
          </w:tcPr>
          <w:p>
            <w:r>
              <w:t>Relevant account, billing, logs and communications</w:t>
            </w:r>
          </w:p>
        </w:tc>
        <w:tc>
          <w:tcPr>
            <w:tcW w:type="dxa" w:w="3331"/>
            <w:tcMar>
              <w:top w:w="80" w:type="dxa"/>
              <w:start w:w="100" w:type="dxa"/>
              <w:bottom w:w="80" w:type="dxa"/>
              <w:end w:w="100" w:type="dxa"/>
            </w:tcMar>
          </w:tcPr>
          <w:p>
            <w:r>
              <w:t>Legitimate interests; legal obligation where applicable</w:t>
            </w:r>
          </w:p>
        </w:tc>
      </w:tr>
    </w:tbl>
    <w:p>
      <w:r>
        <w:t>Where we rely on legitimate interests, we consider the purpose, necessity and impact on the individual. You may object to processing based on legitimate interests, including direct marketing.</w:t>
      </w:r>
    </w:p>
    <w:p>
      <w:pPr>
        <w:pStyle w:val="Heading1"/>
      </w:pPr>
      <w:r>
        <w:t>4. Business-to-business marketing</w:t>
      </w:r>
    </w:p>
    <w:p>
      <w:r>
        <w:t>We may contact relevant professionals at corporate organisations about Regstead where lawful. We do not hide our identity and provide an easy way to opt out. We maintain a suppression list so that opt-out requests are respected.</w:t>
      </w:r>
    </w:p>
    <w:p>
      <w:r>
        <w:t>Sole traders and some unincorporated partnerships receive stronger protection under PECR. If we are unsure whether a recipient is a corporate subscriber, our policy is to treat them as an individual subscriber for electronic marketing purposes unless we have a lawful basis to proceed otherwise.</w:t>
      </w:r>
    </w:p>
    <w:p>
      <w:pPr>
        <w:pStyle w:val="Heading1"/>
      </w:pPr>
      <w:r>
        <w:t>5. Privacy information for contacts sourced publicly</w:t>
      </w:r>
    </w:p>
    <w:p>
      <w:r>
        <w:t>If we obtain a named business contact's personal information from a public source and use it to communicate with that person, we will make this Privacy Notice available no later than our first communication (and otherwise within the applicable legal time limit), unless a lawful exception applies. We will identify the type and source of the information in this notice or the communication.</w:t>
      </w:r>
    </w:p>
    <w:p>
      <w:pPr>
        <w:pStyle w:val="Heading1"/>
      </w:pPr>
      <w:r>
        <w:t>6. Who we share information with</w:t>
      </w:r>
    </w:p>
    <w:p>
      <w:pPr>
        <w:pStyle w:val="ListBullet"/>
      </w:pPr>
      <w:r>
        <w:t>Cloud hosting and infrastructure providers.</w:t>
      </w:r>
    </w:p>
    <w:p>
      <w:pPr>
        <w:pStyle w:val="ListBullet"/>
      </w:pPr>
      <w:r>
        <w:t>Payment providers.</w:t>
      </w:r>
    </w:p>
    <w:p>
      <w:pPr>
        <w:pStyle w:val="ListBullet"/>
      </w:pPr>
      <w:r>
        <w:t>Transactional email and customer-support providers.</w:t>
      </w:r>
    </w:p>
    <w:p>
      <w:pPr>
        <w:pStyle w:val="ListBullet"/>
      </w:pPr>
      <w:r>
        <w:t>Security, monitoring and analytics providers.</w:t>
      </w:r>
    </w:p>
    <w:p>
      <w:pPr>
        <w:pStyle w:val="ListBullet"/>
      </w:pPr>
      <w:r>
        <w:t>Professional advisers, insurers, auditors and prospective investors or acquirers where appropriate and subject to safeguards.</w:t>
      </w:r>
    </w:p>
    <w:p>
      <w:pPr>
        <w:pStyle w:val="ListBullet"/>
      </w:pPr>
      <w:r>
        <w:t>Regulators, courts, law enforcement or public authorities where legally required.</w:t>
      </w:r>
    </w:p>
    <w:p>
      <w:r>
        <w:t>A current list of material subprocessors/service providers should be published or made available before launch.</w:t>
      </w:r>
    </w:p>
    <w:p>
      <w:pPr>
        <w:pStyle w:val="Heading1"/>
      </w:pPr>
      <w:r>
        <w:t>7. International transfers</w:t>
      </w:r>
    </w:p>
    <w:p>
      <w:r>
        <w:t>Some suppliers may process information outside the UK. Where UK data-protection law requires safeguards for an international transfer, we will use an approved transfer mechanism or other lawful safeguard and carry out any required transfer-risk assessment.</w:t>
      </w:r>
    </w:p>
    <w:p>
      <w:pPr>
        <w:pStyle w:val="Heading1"/>
      </w:pPr>
      <w:r>
        <w:t>8. How long we keep information</w:t>
      </w:r>
    </w:p>
    <w:p>
      <w:r>
        <w:t>We keep personal information only for as long as reasonably necessary for the purpose collected, including contractual, accounting, security and legal requirements. Retention depends on the category of data and relationship.</w:t>
      </w:r>
    </w:p>
    <w:p>
      <w:pPr>
        <w:pStyle w:val="ListBullet"/>
      </w:pPr>
      <w:r>
        <w:t>Customer account and contract records may be retained for the relationship and for a period afterwards where needed for accounting or legal claims.</w:t>
      </w:r>
    </w:p>
    <w:p>
      <w:pPr>
        <w:pStyle w:val="ListBullet"/>
      </w:pPr>
      <w:r>
        <w:t>Service history and scan data are generally retained while needed to provide monitoring/history and may be deleted or anonymised after account closure in line with the applicable plan and internal retention schedule.</w:t>
      </w:r>
    </w:p>
    <w:p>
      <w:pPr>
        <w:pStyle w:val="ListBullet"/>
      </w:pPr>
      <w:r>
        <w:t>Security logs are retained for a proportionate period based on security and operational needs.</w:t>
      </w:r>
    </w:p>
    <w:p>
      <w:pPr>
        <w:pStyle w:val="ListBullet"/>
      </w:pPr>
      <w:r>
        <w:t>Marketing suppression records may be retained for as long as needed to ensure we continue to honour an opt-out.</w:t>
      </w:r>
    </w:p>
    <w:p>
      <w:pPr>
        <w:pStyle w:val="Heading1"/>
      </w:pPr>
      <w:r>
        <w:t>9. Cookies and similar technologies</w:t>
      </w:r>
    </w:p>
    <w:p>
      <w:r>
        <w:t>Essential technologies may be used where necessary for security, authentication or core website operation. Non-essential analytics or advertising cookies will not be placed before the required consent is obtained. A separate cookie notice/banner should identify the technologies actually deployed at launch.</w:t>
      </w:r>
    </w:p>
    <w:p>
      <w:pPr>
        <w:pStyle w:val="Heading1"/>
      </w:pPr>
      <w:r>
        <w:t>10. Your rights</w:t>
      </w:r>
    </w:p>
    <w:p>
      <w:r>
        <w:t>Depending on the circumstances, UK data-protection law may give you rights of access, rectification, erasure, restriction, objection, data portability and rights relating to certain automated decisions. Where processing is based on consent, you may withdraw consent without affecting earlier lawful processing.</w:t>
      </w:r>
    </w:p>
    <w:p>
      <w:r>
        <w:t>You have an absolute right to object to personal information being used for direct marketing. Contact us at the address above to exercise a right.</w:t>
      </w:r>
    </w:p>
    <w:p>
      <w:pPr>
        <w:pStyle w:val="Heading1"/>
      </w:pPr>
      <w:r>
        <w:t>11. Complaints</w:t>
      </w:r>
    </w:p>
    <w:p>
      <w:r>
        <w:t>Please contact us first if you have a concern. You also have the right to complain to the Information Commissioner's Office (ICO). Current ICO contact details are available at ico.org.uk.</w:t>
      </w:r>
    </w:p>
    <w:p>
      <w:pPr>
        <w:pStyle w:val="Heading1"/>
      </w:pPr>
      <w:r>
        <w:t>12. Automated decision-making</w:t>
      </w:r>
    </w:p>
    <w:p>
      <w:r>
        <w:t>Regstead may automatically classify website observations and generate findings. These product classifications are intended to support customer review and do not make legal decisions about the people whose information may appear on a monitored website. Regstead should update this section before introducing any automated decision with legal or similarly significant effects on individuals.</w:t>
      </w:r>
    </w:p>
    <w:p>
      <w:pPr>
        <w:pStyle w:val="Heading1"/>
      </w:pPr>
      <w:r>
        <w:t>13. Changes to this notice</w:t>
      </w:r>
    </w:p>
    <w:p>
      <w:r>
        <w:t>We may update this notice as Regstead, our suppliers or the law changes. The current version will show its effective date. Material changes will be highlighted where appropriate.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66675"/>
        <w:sz w:val="15"/>
      </w:rPr>
      <w:t>DRAFT — SOLICITOR REVIEW REQUIRED   |   [REGSTEAD LEGAL ENTITY NAME]</w:t>
    </w:r>
  </w:p>
  <w:p>
    <w:pPr>
      <w:jc w:val="right"/>
    </w:pPr>
    <w:r>
      <w:rPr>
        <w:color w:val="566675"/>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912"/>
      <w:gridCol w:w="3168"/>
    </w:tblGrid>
    <w:tr>
      <w:tc>
        <w:tcPr>
          <w:tcW w:type="dxa" w:w="5040"/>
        </w:tcPr>
        <w:p>
          <w:pPr>
            <w:jc w:val="left"/>
          </w:pPr>
          <w:r>
            <w:drawing>
              <wp:inline xmlns:a="http://schemas.openxmlformats.org/drawingml/2006/main" xmlns:pic="http://schemas.openxmlformats.org/drawingml/2006/picture">
                <wp:extent cx="1417320" cy="445852"/>
                <wp:docPr id="1" name="Picture 1"/>
                <wp:cNvGraphicFramePr>
                  <a:graphicFrameLocks noChangeAspect="1"/>
                </wp:cNvGraphicFramePr>
                <a:graphic>
                  <a:graphicData uri="http://schemas.openxmlformats.org/drawingml/2006/picture">
                    <pic:pic>
                      <pic:nvPicPr>
                        <pic:cNvPr id="0" name="logo_clean.png"/>
                        <pic:cNvPicPr/>
                      </pic:nvPicPr>
                      <pic:blipFill>
                        <a:blip r:embed="rId1"/>
                        <a:stretch>
                          <a:fillRect/>
                        </a:stretch>
                      </pic:blipFill>
                      <pic:spPr>
                        <a:xfrm>
                          <a:off x="0" y="0"/>
                          <a:ext cx="1417320" cy="445852"/>
                        </a:xfrm>
                        <a:prstGeom prst="rect"/>
                      </pic:spPr>
                    </pic:pic>
                  </a:graphicData>
                </a:graphic>
              </wp:inline>
            </w:drawing>
          </w:r>
        </w:p>
      </w:tc>
      <w:tc>
        <w:tcPr>
          <w:tcW w:type="dxa" w:w="5040"/>
        </w:tcPr>
        <w:p>
          <w:pPr>
            <w:jc w:val="right"/>
          </w:pPr>
          <w:r>
            <w:rPr>
              <w:b/>
              <w:color w:val="168678"/>
              <w:sz w:val="15"/>
            </w:rPr>
            <w:t>MONITOR WHAT MATTERS.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026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63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686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026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26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666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