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Q3'2026 Markets Review: items the drafting tool cannot yet source</w:t>
      </w:r>
    </w:p>
    <w:p>
      <w:pPr>
        <w:spacing w:after="100" w:before="60"/>
      </w:pPr>
      <w:r>
        <w:rPr>
          <w:rFonts w:ascii="Arial" w:cs="Arial" w:eastAsia="Arial" w:hAnsi="Arial"/>
          <w:sz w:val="20"/>
          <w:szCs w:val="20"/>
        </w:rPr>
        <w:t xml:space="preserve">Prepared 6 October 2026 from https://cytonnreport.com/research/cytonn-q3-2026 (published 4 October 2026). The page was read as text, so the charts (images) were not read, and the downloadable PDF may differ. Where the page names a source or a date, it is listed so the analysts can be asked a narrower question.</w:t>
      </w:r>
    </w:p>
    <w:p>
      <w:pPr>
        <w:pStyle w:val="Heading1"/>
        <w:spacing w:after="120" w:before="240"/>
      </w:pPr>
      <w:r>
        <w:rPr>
          <w:rFonts w:ascii="Arial" w:cs="Arial" w:eastAsia="Arial" w:hAnsi="Arial"/>
          <w:b/>
          <w:bCs/>
          <w:sz w:val="28"/>
          <w:szCs w:val="28"/>
        </w:rPr>
        <w:t xml:space="preserve">1. Where each unknown sits on the Q3'2026 page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300"/>
        <w:gridCol w:w="4778"/>
        <w:gridCol w:w="4400"/>
      </w:tblGrid>
      <w:tr>
        <w:trPr>
          <w:tblHeader/>
        </w:trPr>
        <w:tc>
          <w:tcPr>
            <w:tcW w:type="dxa" w:w="500"/>
            <w:tcBorders>
              <w:top w:val="single" w:color="BFBFBF" w:sz="4"/>
              <w:left w:val="single" w:color="BFBFBF" w:sz="4"/>
              <w:bottom w:val="single" w:color="BFBFBF" w:sz="4"/>
              <w:right w:val="single" w:color="BFBFBF" w:sz="4"/>
            </w:tcBorders>
            <w:shd w:fill="E7EEF2" w:color="auto" w:val="clear"/>
            <w:tcMar>
              <w:top w:type="dxa" w:w="60"/>
              <w:left w:type="dxa" w:w="100"/>
              <w:bottom w:type="dxa" w:w="60"/>
              <w:right w:type="dxa" w:w="100"/>
            </w:tcMar>
          </w:tcPr>
          <w:p>
            <w:pPr>
              <w:spacing w:after="40" w:before="40"/>
            </w:pPr>
            <w:r>
              <w:rPr>
                <w:rFonts w:ascii="Arial" w:cs="Arial" w:eastAsia="Arial" w:hAnsi="Arial"/>
                <w:b/>
                <w:bCs/>
                <w:sz w:val="18"/>
                <w:szCs w:val="18"/>
              </w:rPr>
              <w:t xml:space="preserve">#</w:t>
            </w:r>
          </w:p>
        </w:tc>
        <w:tc>
          <w:tcPr>
            <w:tcW w:type="dxa" w:w="1700"/>
            <w:tcBorders>
              <w:top w:val="single" w:color="BFBFBF" w:sz="4"/>
              <w:left w:val="single" w:color="BFBFBF" w:sz="4"/>
              <w:bottom w:val="single" w:color="BFBFBF" w:sz="4"/>
              <w:right w:val="single" w:color="BFBFBF" w:sz="4"/>
            </w:tcBorders>
            <w:shd w:fill="E7EEF2" w:color="auto" w:val="clear"/>
            <w:tcMar>
              <w:top w:type="dxa" w:w="60"/>
              <w:left w:type="dxa" w:w="100"/>
              <w:bottom w:type="dxa" w:w="60"/>
              <w:right w:type="dxa" w:w="100"/>
            </w:tcMar>
          </w:tcPr>
          <w:p>
            <w:pPr>
              <w:spacing w:after="40" w:before="40"/>
            </w:pPr>
            <w:r>
              <w:rPr>
                <w:rFonts w:ascii="Arial" w:cs="Arial" w:eastAsia="Arial" w:hAnsi="Arial"/>
                <w:b/>
                <w:bCs/>
                <w:sz w:val="18"/>
                <w:szCs w:val="18"/>
              </w:rPr>
              <w:t xml:space="preserve">Item</w:t>
            </w:r>
          </w:p>
        </w:tc>
        <w:tc>
          <w:tcPr>
            <w:tcW w:type="dxa" w:w="3300"/>
            <w:tcBorders>
              <w:top w:val="single" w:color="BFBFBF" w:sz="4"/>
              <w:left w:val="single" w:color="BFBFBF" w:sz="4"/>
              <w:bottom w:val="single" w:color="BFBFBF" w:sz="4"/>
              <w:right w:val="single" w:color="BFBFBF" w:sz="4"/>
            </w:tcBorders>
            <w:shd w:fill="E7EEF2" w:color="auto" w:val="clear"/>
            <w:tcMar>
              <w:top w:type="dxa" w:w="60"/>
              <w:left w:type="dxa" w:w="100"/>
              <w:bottom w:type="dxa" w:w="60"/>
              <w:right w:type="dxa" w:w="100"/>
            </w:tcMar>
          </w:tcPr>
          <w:p>
            <w:pPr>
              <w:spacing w:after="40" w:before="40"/>
            </w:pPr>
            <w:r>
              <w:rPr>
                <w:rFonts w:ascii="Arial" w:cs="Arial" w:eastAsia="Arial" w:hAnsi="Arial"/>
                <w:b/>
                <w:bCs/>
                <w:sz w:val="18"/>
                <w:szCs w:val="18"/>
              </w:rPr>
              <w:t xml:space="preserve">Where on the page</w:t>
            </w:r>
          </w:p>
        </w:tc>
        <w:tc>
          <w:tcPr>
            <w:tcW w:type="dxa" w:w="4778"/>
            <w:tcBorders>
              <w:top w:val="single" w:color="BFBFBF" w:sz="4"/>
              <w:left w:val="single" w:color="BFBFBF" w:sz="4"/>
              <w:bottom w:val="single" w:color="BFBFBF" w:sz="4"/>
              <w:right w:val="single" w:color="BFBFBF" w:sz="4"/>
            </w:tcBorders>
            <w:shd w:fill="E7EEF2" w:color="auto" w:val="clear"/>
            <w:tcMar>
              <w:top w:type="dxa" w:w="60"/>
              <w:left w:type="dxa" w:w="100"/>
              <w:bottom w:type="dxa" w:w="60"/>
              <w:right w:type="dxa" w:w="100"/>
            </w:tcMar>
          </w:tcPr>
          <w:p>
            <w:pPr>
              <w:spacing w:after="40" w:before="40"/>
            </w:pPr>
            <w:r>
              <w:rPr>
                <w:rFonts w:ascii="Arial" w:cs="Arial" w:eastAsia="Arial" w:hAnsi="Arial"/>
                <w:b/>
                <w:bCs/>
                <w:sz w:val="18"/>
                <w:szCs w:val="18"/>
              </w:rPr>
              <w:t xml:space="preserve">What the page shows</w:t>
            </w:r>
          </w:p>
        </w:tc>
        <w:tc>
          <w:tcPr>
            <w:tcW w:type="dxa" w:w="4400"/>
            <w:tcBorders>
              <w:top w:val="single" w:color="BFBFBF" w:sz="4"/>
              <w:left w:val="single" w:color="BFBFBF" w:sz="4"/>
              <w:bottom w:val="single" w:color="BFBFBF" w:sz="4"/>
              <w:right w:val="single" w:color="BFBFBF" w:sz="4"/>
            </w:tcBorders>
            <w:shd w:fill="E7EEF2" w:color="auto" w:val="clear"/>
            <w:tcMar>
              <w:top w:type="dxa" w:w="60"/>
              <w:left w:type="dxa" w:w="100"/>
              <w:bottom w:type="dxa" w:w="60"/>
              <w:right w:type="dxa" w:w="100"/>
            </w:tcMar>
          </w:tcPr>
          <w:p>
            <w:pPr>
              <w:spacing w:after="40" w:before="40"/>
            </w:pPr>
            <w:r>
              <w:rPr>
                <w:rFonts w:ascii="Arial" w:cs="Arial" w:eastAsia="Arial" w:hAnsi="Arial"/>
                <w:b/>
                <w:bCs/>
                <w:sz w:val="18"/>
                <w:szCs w:val="18"/>
              </w:rPr>
              <w:t xml:space="preserve">Still unknown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SSA currencies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Sub-Saharan Africa Region Review, Currency Performance, table "Select Sub-Saharan Africa Currency Performance vs USD"</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Columns Sep-25, Jan-26, Sep-26, last 12 months and YTD change. Source line: "Yahoo Finance, Central Banks".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The fixing day (only months are printed) and which source applies to which currency.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African Eurobond yields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Same section, African Eurobonds (paragraph and chart)</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Source line: "Bloomberg, CBK".</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How the non-Kenya bonds' Bloomberg values reach the team.</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Index history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Same section, Equities Market Performance (Dollarized), eight indices</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Source line: "Cytonn Research, Kwayisi, Yahoo Finance".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Whether Kwayisi provides history, and the exchange-rate source used for dollarizing.</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PMI</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Kenya Macro Economic Review, paragraph on Stanbic's August 2026 PMI (49.7)</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Names Stanbic as the publisher; no source line.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How the figure reaches the team.</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Budget comparison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Kenya Macro, Fiscal Policy, table "Comparison between FY'2026/2027 and FY'2025/2026 Budgets Estimates"</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Source line: "National Treasury of Kenya, www.parliament.go.ke".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Which exact document.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T-bill averaging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Fixed Income, first paragraph</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"Average yields" of 8.8%, 8.9% and 9.0% for the 91, 182 and 364-day papers (8.0%, 8.2% and 9.6% in Q3'2025).</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Whether it is a plain average of the weekly auctions or weighted by amount accepted.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Secondary market and Eurobonds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Fixed Income, Secondary Bond Market Activity, and table "Kenya Eurobonds Performance"</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Eurobond table source: Central Bank of Kenya (CBK). Bond turnover (Kshs 790.5 bn) and the yield curve have no source line.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Which CBK page; the source of turnover and the yield curve.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Tap-sale rule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Fixed Income, table "Bond Issuances in Q3'2026"</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 row is labelled as a tap sale.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The rule only affects the Q3'2025 Total and Average rows (250.0 / 405.3 / 713.1).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Digital Payments bases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Digital Payments, table "Digital Payments NYSE and LSE stock performance"</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Prices are printed for 6/30, 8/03, 9/25, 9/30 and 10/03. w/w = 10/03 against 9/25; m/m = 10/03 against 8/03; Q/Q = 9/30 against 6/30; YTD = 10/03 against Year Open. All seven rows reproduce within rounding.</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Why the m/m base is 8/03 (two months back) rather than about 3 September.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Global Payments' Year Open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Same table</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Printed as 77.0; its YTD of 1.8% is computed from 77.0.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Why 77.0 (its 5 January close) when the other six companies use the first trading day.</w:t>
            </w:r>
          </w:p>
        </w:tc>
      </w:tr>
    </w:tbl>
    <w:p>
      <w:pPr>
        <w:pStyle w:val="Heading1"/>
        <w:spacing w:after="120" w:before="240"/>
      </w:pPr>
      <w:r>
        <w:rPr>
          <w:rFonts w:ascii="Arial" w:cs="Arial" w:eastAsia="Arial" w:hAnsi="Arial"/>
          <w:b/>
          <w:bCs/>
          <w:sz w:val="28"/>
          <w:szCs w:val="28"/>
        </w:rPr>
        <w:t xml:space="preserve">2. Added after comparing earlier issues</w:t>
      </w:r>
    </w:p>
    <w:p>
      <w:pPr>
        <w:spacing w:after="100" w:before="60"/>
      </w:pPr>
      <w:r>
        <w:rPr>
          <w:rFonts w:ascii="Arial" w:cs="Arial" w:eastAsia="Arial" w:hAnsi="Arial"/>
          <w:sz w:val="20"/>
          <w:szCs w:val="20"/>
        </w:rPr>
        <w:t xml:space="preserve">Compared with the Q3'2025 review, the H1'2026 review and weekly issue #37.2026 on the same website.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900"/>
        <w:gridCol w:w="7678"/>
        <w:gridCol w:w="5100"/>
      </w:tblGrid>
      <w:tr>
        <w:trPr>
          <w:tblHeader/>
        </w:trPr>
        <w:tc>
          <w:tcPr>
            <w:tcW w:type="dxa" w:w="1900"/>
            <w:tcBorders>
              <w:top w:val="single" w:color="BFBFBF" w:sz="4"/>
              <w:left w:val="single" w:color="BFBFBF" w:sz="4"/>
              <w:bottom w:val="single" w:color="BFBFBF" w:sz="4"/>
              <w:right w:val="single" w:color="BFBFBF" w:sz="4"/>
            </w:tcBorders>
            <w:shd w:fill="E7EEF2" w:color="auto" w:val="clear"/>
            <w:tcMar>
              <w:top w:type="dxa" w:w="60"/>
              <w:left w:type="dxa" w:w="100"/>
              <w:bottom w:type="dxa" w:w="60"/>
              <w:right w:type="dxa" w:w="100"/>
            </w:tcMar>
          </w:tcPr>
          <w:p>
            <w:pPr>
              <w:spacing w:after="40" w:before="40"/>
            </w:pPr>
            <w:r>
              <w:rPr>
                <w:rFonts w:ascii="Arial" w:cs="Arial" w:eastAsia="Arial" w:hAnsi="Arial"/>
                <w:b/>
                <w:bCs/>
                <w:sz w:val="18"/>
                <w:szCs w:val="18"/>
              </w:rPr>
              <w:t xml:space="preserve">Area</w:t>
            </w:r>
          </w:p>
        </w:tc>
        <w:tc>
          <w:tcPr>
            <w:tcW w:type="dxa" w:w="7678"/>
            <w:tcBorders>
              <w:top w:val="single" w:color="BFBFBF" w:sz="4"/>
              <w:left w:val="single" w:color="BFBFBF" w:sz="4"/>
              <w:bottom w:val="single" w:color="BFBFBF" w:sz="4"/>
              <w:right w:val="single" w:color="BFBFBF" w:sz="4"/>
            </w:tcBorders>
            <w:shd w:fill="E7EEF2" w:color="auto" w:val="clear"/>
            <w:tcMar>
              <w:top w:type="dxa" w:w="60"/>
              <w:left w:type="dxa" w:w="100"/>
              <w:bottom w:type="dxa" w:w="60"/>
              <w:right w:type="dxa" w:w="100"/>
            </w:tcMar>
          </w:tcPr>
          <w:p>
            <w:pPr>
              <w:spacing w:after="40" w:before="40"/>
            </w:pPr>
            <w:r>
              <w:rPr>
                <w:rFonts w:ascii="Arial" w:cs="Arial" w:eastAsia="Arial" w:hAnsi="Arial"/>
                <w:b/>
                <w:bCs/>
                <w:sz w:val="18"/>
                <w:szCs w:val="18"/>
              </w:rPr>
              <w:t xml:space="preserve">Finding</w:t>
            </w:r>
          </w:p>
        </w:tc>
        <w:tc>
          <w:tcPr>
            <w:tcW w:type="dxa" w:w="5100"/>
            <w:tcBorders>
              <w:top w:val="single" w:color="BFBFBF" w:sz="4"/>
              <w:left w:val="single" w:color="BFBFBF" w:sz="4"/>
              <w:bottom w:val="single" w:color="BFBFBF" w:sz="4"/>
              <w:right w:val="single" w:color="BFBFBF" w:sz="4"/>
            </w:tcBorders>
            <w:shd w:fill="E7EEF2" w:color="auto" w:val="clear"/>
            <w:tcMar>
              <w:top w:type="dxa" w:w="60"/>
              <w:left w:type="dxa" w:w="100"/>
              <w:bottom w:type="dxa" w:w="60"/>
              <w:right w:type="dxa" w:w="100"/>
            </w:tcMar>
          </w:tcPr>
          <w:p>
            <w:pPr>
              <w:spacing w:after="40" w:before="40"/>
            </w:pPr>
            <w:r>
              <w:rPr>
                <w:rFonts w:ascii="Arial" w:cs="Arial" w:eastAsia="Arial" w:hAnsi="Arial"/>
                <w:b/>
                <w:bCs/>
                <w:sz w:val="18"/>
                <w:szCs w:val="18"/>
              </w:rPr>
              <w:t xml:space="preserve">What it means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SSA currencies (items 1, 2)</w:t>
            </w:r>
          </w:p>
        </w:tc>
        <w:tc>
          <w:tcPr>
            <w:tcW w:type="dxa" w:w="7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The Jan-26 column is identical in the H1'2026 and Q3'2026 issues for all ten currencies, so a fixed January base is carried forward.</w:t>
            </w:r>
          </w:p>
          <w:p>
            <w:pPr>
              <w:spacing w:after="40" w:before="40"/>
            </w:pPr>
            <w:r>
              <w:rPr>
                <w:rFonts w:ascii="Arial" w:cs="Arial" w:eastAsia="Arial" w:hAnsi="Arial"/>
                <w:b w:val="false"/>
                <w:bCs w:val="false"/>
                <w:sz w:val="18"/>
                <w:szCs w:val="18"/>
              </w:rPr>
              <w:t xml:space="preserve">The Sep-25 column printed in Q3'2026 differs from the Sep-25 column printed in the Q3'2025 issue for five of ten: Nigerian naira 1,470.0 against 1,476.62; Malawian kwacha 1751.0 against 1,733.7; Botswana pula 13.2 against 14.2; Tanzanian shilling 2,453.6 against 2,442.8; Ghanaian cedi 12.3 against 12.5. The other five agree (kwacha 23.9, rand 17.3, rupee 45.7 against 45.66, Ugandan shilling 3490.2, Kenyan shilling 129.2 against 129.2404).</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Base values are pulled again each issue, not copied from the old one, so a figure cannot be expected to match its earlier print. The four-decimal Kenyan shilling (129.2404) looks like a central bank rate, which suggests central banks are the source for at least that currency (an inference).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Index history (item 3)</w:t>
            </w:r>
          </w:p>
        </w:tc>
        <w:tc>
          <w:tcPr>
            <w:tcW w:type="dxa" w:w="7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The Jan-26 column is identical in the H1'2026 and Q3'2026 issues for all eight indices.</w:t>
            </w:r>
          </w:p>
          <w:p>
            <w:pPr>
              <w:spacing w:after="40" w:before="40"/>
            </w:pPr>
            <w:r>
              <w:rPr>
                <w:rFonts w:ascii="Arial" w:cs="Arial" w:eastAsia="Arial" w:hAnsi="Arial"/>
                <w:b w:val="false"/>
                <w:bCs w:val="false"/>
                <w:sz w:val="18"/>
                <w:szCs w:val="18"/>
              </w:rPr>
              <w:t xml:space="preserve">The Sep-25 column differs from the Q3'2025 issue for four of eight: Nigeria 98.31 against 96.6; Ghana 670.16 against 656.1; Zambia 1056.0 against 844.4; South Africa 6371.3 against 6246.1. Kenya, Tanzania, Rwanda and Uganda agree within rounding. Zambia's gap (about 25%) is too large to be rounding.</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The index values or the exchange rates used to dollarize them were redone between issues. Ask for the exchange-rate source and date as well as the index source.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Tap-sale rule (item 8)</w:t>
            </w:r>
          </w:p>
        </w:tc>
        <w:tc>
          <w:tcPr>
            <w:tcW w:type="dxa" w:w="7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The Q3'2025 issue listed two tap-sale bonds (IFB1/2018/015 and IFB1/2022/019, 25 August 2025) inside its totals of 250.0 offered, 405.3 accepted and 713.1 bids. The Q3'2026 issue prints the same figures as its comparison.</w:t>
            </w:r>
          </w:p>
          <w:p>
            <w:pPr>
              <w:spacing w:after="40" w:before="40"/>
            </w:pPr>
            <w:r>
              <w:rPr>
                <w:rFonts w:ascii="Arial" w:cs="Arial" w:eastAsia="Arial" w:hAnsi="Arial"/>
                <w:b w:val="false"/>
                <w:bCs w:val="false"/>
                <w:sz w:val="18"/>
                <w:szCs w:val="18"/>
              </w:rPr>
              <w:t xml:space="preserve">The H1'2026 text says one bond was issued on tap sale, but its table has no tap-sale row, and its offered total (460.0) equals the nine auctions listed. The Q3'2026 page mentions no tap sale.</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Counting tap sales is the rule that reproduces both Q3 issues. H1'2026 is the inconsistent one, so the earlier note that H1 "left taps out" is better read as an inconsistency than a rule.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Digital Payments bases (item 9)</w:t>
            </w:r>
          </w:p>
        </w:tc>
        <w:tc>
          <w:tcPr>
            <w:tcW w:type="dxa" w:w="7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The H1'2026 table has Year Open, prices on 6/26, 6/30 and 7/3, then "HY'2026 change", w/w, YTD and P/E.</w:t>
            </w:r>
          </w:p>
          <w:p>
            <w:pPr>
              <w:spacing w:after="40" w:before="40"/>
            </w:pPr>
            <w:r>
              <w:rPr>
                <w:rFonts w:ascii="Arial" w:cs="Arial" w:eastAsia="Arial" w:hAnsi="Arial"/>
                <w:b w:val="false"/>
                <w:bCs w:val="false"/>
                <w:sz w:val="18"/>
                <w:szCs w:val="18"/>
              </w:rPr>
              <w:t xml:space="preserve">HY'2026 change reproduces exactly as Year Open divided by the 6/30 price, minus 1, for all six companies (AXP printed +10.2%; the true change from Year Open to 6/30 is -9.2%). The w/w column reproduces as the old price divided by the new price, minus 1 (AXP printed (3.3%); true +3.4%). YTD is correct.</w:t>
            </w:r>
          </w:p>
          <w:p>
            <w:pPr>
              <w:spacing w:after="40" w:before="40"/>
            </w:pPr>
            <w:r>
              <w:rPr>
                <w:rFonts w:ascii="Arial" w:cs="Arial" w:eastAsia="Arial" w:hAnsi="Arial"/>
                <w:b w:val="false"/>
                <w:bCs w:val="false"/>
                <w:sz w:val="18"/>
                <w:szCs w:val="18"/>
              </w:rPr>
              <w:t xml:space="preserve">Weekly issue #37.2026 has no m/m column (Year Open, two prices, w/w, YTD, forward P/E). The m/m column exists only in the quarterly issue, and the Q3'2026 page computes its columns the right way round.</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The half-year base is now known (Year Open to 6/30), but the published H1 formula is inverted. The tool should compute the correct way and flag that it differs from the printed H1 figures by design.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MMF and Kenya Eurobond tables (items 7, 2)</w:t>
            </w:r>
          </w:p>
        </w:tc>
        <w:tc>
          <w:tcPr>
            <w:tcW w:type="dxa" w:w="7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The Money Market Fund table has the same layout and the same source (Business Daily) in Q3'2025 and Q3'2026, dated by publication day. The Kenya Eurobond table has the same layout and source (CBK) in both: issue yields, 2 Jan, 1 Jul, then the last six trading days.</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The Eurobond layout is consistent with a CBK daily yield table (an inference); the analysts only need to point at the page.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T-bill averaging (item 6)</w:t>
            </w:r>
          </w:p>
        </w:tc>
        <w:tc>
          <w:tcPr>
            <w:tcW w:type="dxa" w:w="7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Not testable from the quarterly issues alone. It needs the weekly auction yields and amounts accepted for July to September 2026.</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See the history samples requested below.</w:t>
            </w:r>
          </w:p>
        </w:tc>
      </w:tr>
    </w:tbl>
    <w:p>
      <w:pPr>
        <w:pStyle w:val="Heading1"/>
        <w:spacing w:after="120" w:before="240"/>
      </w:pPr>
      <w:r>
        <w:rPr>
          <w:rFonts w:ascii="Arial" w:cs="Arial" w:eastAsia="Arial" w:hAnsi="Arial"/>
          <w:b/>
          <w:bCs/>
          <w:sz w:val="28"/>
          <w:szCs w:val="28"/>
        </w:rPr>
        <w:t xml:space="preserve">3. Published errors noticed</w:t>
      </w:r>
    </w:p>
    <w:p>
      <w:pPr>
        <w:pStyle w:val="ListParagraph"/>
        <w:numPr>
          <w:ilvl w:val="0"/>
          <w:numId w:val="2"/>
        </w:numPr>
        <w:spacing w:after="40" w:before="40"/>
      </w:pPr>
      <w:r>
        <w:rPr>
          <w:rFonts w:ascii="Arial" w:cs="Arial" w:eastAsia="Arial" w:hAnsi="Arial"/>
          <w:sz w:val="20"/>
          <w:szCs w:val="20"/>
        </w:rPr>
        <w:t xml:space="preserve">Universe of Coverage price column in the Q3'2026 issue is headed "Price as at 25/09/2027" (should be 2026).</w:t>
      </w:r>
    </w:p>
    <w:p>
      <w:pPr>
        <w:pStyle w:val="ListParagraph"/>
        <w:numPr>
          <w:ilvl w:val="0"/>
          <w:numId w:val="2"/>
        </w:numPr>
        <w:spacing w:after="40" w:before="40"/>
      </w:pPr>
      <w:r>
        <w:rPr>
          <w:rFonts w:ascii="Arial" w:cs="Arial" w:eastAsia="Arial" w:hAnsi="Arial"/>
          <w:sz w:val="20"/>
          <w:szCs w:val="20"/>
        </w:rPr>
        <w:t xml:space="preserve">The Q3'2026 T-bond section heading reads "Primary T-Bond Auctions in H1'2026".</w:t>
      </w:r>
    </w:p>
    <w:p>
      <w:pPr>
        <w:pStyle w:val="ListParagraph"/>
        <w:numPr>
          <w:ilvl w:val="0"/>
          <w:numId w:val="2"/>
        </w:numPr>
        <w:spacing w:after="40" w:before="40"/>
      </w:pPr>
      <w:r>
        <w:rPr>
          <w:rFonts w:ascii="Arial" w:cs="Arial" w:eastAsia="Arial" w:hAnsi="Arial"/>
          <w:sz w:val="20"/>
          <w:szCs w:val="20"/>
        </w:rPr>
        <w:t xml:space="preserve">Visa's 8/03 price is printed as 3665.7 in the Q3'2026 Digital Payments table, which makes its m/m read (90.2%).</w:t>
      </w:r>
    </w:p>
    <w:p>
      <w:pPr>
        <w:pStyle w:val="ListParagraph"/>
        <w:numPr>
          <w:ilvl w:val="0"/>
          <w:numId w:val="2"/>
        </w:numPr>
        <w:spacing w:after="40" w:before="40"/>
      </w:pPr>
      <w:r>
        <w:rPr>
          <w:rFonts w:ascii="Arial" w:cs="Arial" w:eastAsia="Arial" w:hAnsi="Arial"/>
          <w:sz w:val="20"/>
          <w:szCs w:val="20"/>
        </w:rPr>
        <w:t xml:space="preserve">In the H1'2026 issue the Digital Payments half-year change and w/w columns are computed inverted (see section 2), its budget table caption reads "FY'2025/2026 and FY'2025/2026", and one table caption still says "May 2025".</w:t>
      </w:r>
    </w:p>
    <w:p>
      <w:pPr>
        <w:pStyle w:val="Heading1"/>
        <w:spacing w:after="120" w:before="240"/>
      </w:pPr>
      <w:r>
        <w:rPr>
          <w:rFonts w:ascii="Arial" w:cs="Arial" w:eastAsia="Arial" w:hAnsi="Arial"/>
          <w:b/>
          <w:bCs/>
          <w:sz w:val="28"/>
          <w:szCs w:val="28"/>
        </w:rPr>
        <w:t xml:space="preserve">4. History samples to ask for</w:t>
      </w:r>
    </w:p>
    <w:p>
      <w:pPr>
        <w:pStyle w:val="ListParagraph"/>
        <w:numPr>
          <w:ilvl w:val="0"/>
          <w:numId w:val="2"/>
        </w:numPr>
        <w:spacing w:after="40" w:before="40"/>
      </w:pPr>
      <w:r>
        <w:rPr>
          <w:rFonts w:ascii="Arial" w:cs="Arial" w:eastAsia="Arial" w:hAnsi="Arial"/>
          <w:sz w:val="20"/>
          <w:szCs w:val="20"/>
        </w:rPr>
        <w:t xml:space="preserve">The weekly issues from July to September 2026 (about #28 to #39), or the Central Bank of Kenya weekly auction results with amounts accepted, to test whether the quarterly T-bill yields are plain or weighted averages against 8.8%, 8.9% and 9.0%.</w:t>
      </w:r>
    </w:p>
    <w:p>
      <w:pPr>
        <w:pStyle w:val="ListParagraph"/>
        <w:numPr>
          <w:ilvl w:val="0"/>
          <w:numId w:val="2"/>
        </w:numPr>
        <w:spacing w:after="40" w:before="40"/>
      </w:pPr>
      <w:r>
        <w:rPr>
          <w:rFonts w:ascii="Arial" w:cs="Arial" w:eastAsia="Arial" w:hAnsi="Arial"/>
          <w:sz w:val="20"/>
          <w:szCs w:val="20"/>
        </w:rPr>
        <w:t xml:space="preserve">The weekly issue nearest 3 September 2026 with its Digital Payments table, to see whether any weekly issue printed an 8/03 or 9/03 base.</w:t>
      </w:r>
    </w:p>
    <w:p>
      <w:pPr>
        <w:pStyle w:val="ListParagraph"/>
        <w:numPr>
          <w:ilvl w:val="0"/>
          <w:numId w:val="2"/>
        </w:numPr>
        <w:spacing w:after="40" w:before="40"/>
      </w:pPr>
      <w:r>
        <w:rPr>
          <w:rFonts w:ascii="Arial" w:cs="Arial" w:eastAsia="Arial" w:hAnsi="Arial"/>
          <w:sz w:val="20"/>
          <w:szCs w:val="20"/>
        </w:rPr>
        <w:t xml:space="preserve">From the analysts: the exchange-rate source and date used to dollarize the index table, and the day behind each month label in the currency table.</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Q3 2026 Markets Review: items the drafting tool cannot yet source</dc:title>
  <dc:creator>Cytonn Weekly drafting tool project</dc:creator>
  <cp:lastModifiedBy>Un-named</cp:lastModifiedBy>
  <cp:revision>1</cp:revision>
  <dcterms:created xsi:type="dcterms:W3CDTF">2026-10-06T08:53:26.743Z</dcterms:created>
  <dcterms:modified xsi:type="dcterms:W3CDTF">2026-10-06T08:53:26.754Z</dcterms:modified>
</cp:coreProperties>
</file>

<file path=docProps/custom.xml><?xml version="1.0" encoding="utf-8"?>
<Properties xmlns="http://schemas.openxmlformats.org/officeDocument/2006/custom-properties" xmlns:vt="http://schemas.openxmlformats.org/officeDocument/2006/docPropsVTypes"/>
</file>