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C16B4E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16B4E">
                      <w:rPr>
                        <w:b/>
                        <w:bCs/>
                        <w:caps/>
                        <w:sz w:val="72"/>
                        <w:szCs w:val="72"/>
                      </w:rPr>
                      <w:t>Angular.JS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C16B4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79956" w:history="1">
            <w:r w:rsidR="00C16B4E" w:rsidRPr="00F6314A">
              <w:rPr>
                <w:rStyle w:val="Hyperlink"/>
                <w:noProof/>
                <w:shd w:val="clear" w:color="auto" w:fill="FFFFFF"/>
              </w:rPr>
              <w:t>Angular JS 1.0 versus 2.0</w:t>
            </w:r>
            <w:r w:rsidR="00C16B4E">
              <w:rPr>
                <w:noProof/>
                <w:webHidden/>
              </w:rPr>
              <w:tab/>
            </w:r>
            <w:r w:rsidR="00C16B4E">
              <w:rPr>
                <w:noProof/>
                <w:webHidden/>
              </w:rPr>
              <w:fldChar w:fldCharType="begin"/>
            </w:r>
            <w:r w:rsidR="00C16B4E">
              <w:rPr>
                <w:noProof/>
                <w:webHidden/>
              </w:rPr>
              <w:instrText xml:space="preserve"> PAGEREF _Toc440379956 \h </w:instrText>
            </w:r>
            <w:r w:rsidR="00C16B4E">
              <w:rPr>
                <w:noProof/>
                <w:webHidden/>
              </w:rPr>
            </w:r>
            <w:r w:rsidR="00C16B4E">
              <w:rPr>
                <w:noProof/>
                <w:webHidden/>
              </w:rPr>
              <w:fldChar w:fldCharType="separate"/>
            </w:r>
            <w:r w:rsidR="00C16B4E">
              <w:rPr>
                <w:noProof/>
                <w:webHidden/>
              </w:rPr>
              <w:t>1</w:t>
            </w:r>
            <w:r w:rsidR="00C16B4E">
              <w:rPr>
                <w:noProof/>
                <w:webHidden/>
              </w:rPr>
              <w:fldChar w:fldCharType="end"/>
            </w:r>
          </w:hyperlink>
        </w:p>
        <w:p w:rsidR="00C16B4E" w:rsidRDefault="00C16B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379957" w:history="1">
            <w:r w:rsidRPr="00F6314A">
              <w:rPr>
                <w:rStyle w:val="Hyperlink"/>
                <w:noProof/>
                <w:shd w:val="clear" w:color="auto" w:fill="FFFFFF"/>
              </w:rPr>
              <w:t>Data binding code in 9 JavaScript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_Toc440379957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C16B4E" w:rsidRDefault="00C16B4E" w:rsidP="00C16B4E">
      <w:pPr>
        <w:pStyle w:val="Heading1"/>
        <w:rPr>
          <w:shd w:val="clear" w:color="auto" w:fill="FFFFFF"/>
        </w:rPr>
      </w:pPr>
      <w:bookmarkStart w:id="1" w:name="_Toc440379956"/>
      <w:r>
        <w:rPr>
          <w:shd w:val="clear" w:color="auto" w:fill="FFFFFF"/>
        </w:rPr>
        <w:t>Angular JS 1.0 versus 2.0</w:t>
      </w:r>
      <w:bookmarkEnd w:id="1"/>
    </w:p>
    <w:p w:rsidR="00C16B4E" w:rsidRDefault="00C16B4E" w:rsidP="00C16B4E"/>
    <w:p w:rsidR="00C16B4E" w:rsidRPr="00C16B4E" w:rsidRDefault="00C16B4E" w:rsidP="00C16B4E">
      <w:r w:rsidRPr="00C16B4E">
        <w:t xml:space="preserve">Angular2 </w:t>
      </w:r>
      <w:r>
        <w:t>is quite different from</w:t>
      </w:r>
      <w:r w:rsidRPr="00C16B4E">
        <w:t xml:space="preserve"> </w:t>
      </w:r>
      <w:proofErr w:type="gramStart"/>
      <w:r w:rsidRPr="00C16B4E">
        <w:t>Angular1</w:t>
      </w:r>
      <w:r>
        <w:t>.</w:t>
      </w:r>
      <w:r w:rsidRPr="00C16B4E">
        <w:t>,</w:t>
      </w:r>
      <w:proofErr w:type="gramEnd"/>
      <w:r w:rsidRPr="00C16B4E">
        <w:t xml:space="preserve"> </w:t>
      </w:r>
      <w:r w:rsidRPr="00C16B4E">
        <w:t xml:space="preserve">Angular2 </w:t>
      </w:r>
      <w:r>
        <w:t xml:space="preserve"> makes use of </w:t>
      </w:r>
      <w:proofErr w:type="spellStart"/>
      <w:r w:rsidRPr="00C16B4E">
        <w:t>TypeScript</w:t>
      </w:r>
      <w:proofErr w:type="spellEnd"/>
      <w:r>
        <w:t xml:space="preserve"> and because it requires/uses</w:t>
      </w:r>
      <w:r w:rsidRPr="00C16B4E">
        <w:t xml:space="preserve"> </w:t>
      </w:r>
      <w:r>
        <w:t>it requires more tooling.</w:t>
      </w:r>
      <w:r>
        <w:br/>
      </w:r>
      <w:r w:rsidRPr="00C16B4E">
        <w:t xml:space="preserve">Angular 2 is </w:t>
      </w:r>
      <w:r>
        <w:t xml:space="preserve">basically a totally new </w:t>
      </w:r>
      <w:r w:rsidRPr="00C16B4E">
        <w:t>framework</w:t>
      </w:r>
      <w:r>
        <w:t>, but it has kept the same name because of the popularity.</w:t>
      </w:r>
      <w:r w:rsidRPr="00C16B4E">
        <w:t xml:space="preserve"> Angular1 </w:t>
      </w:r>
      <w:r>
        <w:t xml:space="preserve">development will probably continue, but the focus will move </w:t>
      </w:r>
      <w:proofErr w:type="gramStart"/>
      <w:r>
        <w:t xml:space="preserve">to </w:t>
      </w:r>
      <w:r w:rsidRPr="00C16B4E">
        <w:t xml:space="preserve"> Angular2</w:t>
      </w:r>
      <w:proofErr w:type="gramEnd"/>
      <w:r>
        <w:t>. Angular2 is not (backward) compatible with Angular1</w:t>
      </w:r>
      <w:r w:rsidRPr="00C16B4E">
        <w:t>.</w:t>
      </w:r>
    </w:p>
    <w:p w:rsidR="00C16B4E" w:rsidRDefault="00C16B4E" w:rsidP="00C16B4E">
      <w:pPr>
        <w:pStyle w:val="Heading1"/>
        <w:rPr>
          <w:shd w:val="clear" w:color="auto" w:fill="FFFFFF"/>
        </w:rPr>
      </w:pPr>
      <w:bookmarkStart w:id="2" w:name="_Toc440379957"/>
      <w:r w:rsidRPr="00C16B4E">
        <w:rPr>
          <w:shd w:val="clear" w:color="auto" w:fill="FFFFFF"/>
        </w:rPr>
        <w:t>Data binding code in 9 JavaScript frameworks</w:t>
      </w:r>
      <w:bookmarkEnd w:id="2"/>
      <w:r w:rsidRPr="00C16B4E">
        <w:rPr>
          <w:shd w:val="clear" w:color="auto" w:fill="FFFFFF"/>
        </w:rPr>
        <w:t xml:space="preserve"> </w:t>
      </w:r>
    </w:p>
    <w:p w:rsidR="005B0D4D" w:rsidRDefault="00C16B4E" w:rsidP="00C16B4E">
      <w:hyperlink r:id="rId8" w:history="1">
        <w:r w:rsidRPr="00400E6C">
          <w:rPr>
            <w:rStyle w:val="Hyperlink"/>
          </w:rPr>
          <w:t>http://engineering.paiza.io/entry/2015/03/12/145216</w:t>
        </w:r>
      </w:hyperlink>
      <w:r>
        <w:t xml:space="preserve"> </w:t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16B4E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paiza.io/entry/2015/03/12/145216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A6154"/>
    <w:rsid w:val="006C7E1A"/>
    <w:rsid w:val="007A2977"/>
    <w:rsid w:val="00984D23"/>
    <w:rsid w:val="00A12C7F"/>
    <w:rsid w:val="00B4617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A9578-FB4E-4528-B189-5B59051E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Angular.JS</dc:title>
  <dc:subject/>
  <dc:creator>Martien Huijsmans</dc:creator>
  <cp:keywords/>
  <dc:description/>
  <cp:lastModifiedBy>Huijsmans, Martien</cp:lastModifiedBy>
  <cp:revision>134</cp:revision>
  <dcterms:created xsi:type="dcterms:W3CDTF">2014-02-02T12:11:00Z</dcterms:created>
  <dcterms:modified xsi:type="dcterms:W3CDTF">2016-01-12T15:37:00Z</dcterms:modified>
</cp:coreProperties>
</file>