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Creative Brief — Brand Refresh</w:t>
      </w:r>
    </w:p>
    <w:p/>
    <w:p>
      <w:pPr>
        <w:spacing w:after="200"/>
      </w:pPr>
      <w:r>
        <w:t xml:space="preserve">Project: Sample Client — Brand Refresh, Phase 1.</w:t>
      </w:r>
    </w:p>
    <w:p>
      <w:pPr>
        <w:spacing w:after="200"/>
      </w:pPr>
      <w:r>
        <w:t xml:space="preserve">Background: Sample Client is a 12-year-old direct-to-consumer brand seeking to modernize its visual identity ahead of a 2026 product launch. The current logo and palette were designed in 2014 and feel dated relative to category competitors.</w:t>
      </w:r>
    </w:p>
    <w:p>
      <w:pPr>
        <w:spacing w:after="200"/>
      </w:pPr>
      <w:r>
        <w:t xml:space="preserve">Objectives: Establish a refreshed identity system (logo, type, color, voice) that signals innovation while preserving brand equity. Deliverables include the primary logo, secondary marks, type system, color palette, and a one-page brand voice guide.</w:t>
      </w:r>
    </w:p>
    <w:p>
      <w:pPr>
        <w:spacing w:after="200"/>
      </w:pPr>
      <w:r>
        <w:t xml:space="preserve">Audience: Primary — existing customers (35-55, professional, brand-loyal). Secondary — net-new prospects (28-45, design-aware, comparison shoppers).</w:t>
      </w:r>
    </w:p>
    <w:p>
      <w:pPr>
        <w:spacing w:after="200"/>
      </w:pPr>
      <w:r>
        <w:t xml:space="preserve">Tone and feel: Confident, modern, restrained. Not playful. Not corporate. Reference brands include those in the premium-mid market with strong typographic systems.</w:t>
      </w:r>
    </w:p>
    <w:p>
      <w:pPr>
        <w:spacing w:after="200"/>
      </w:pPr>
      <w:r>
        <w:t xml:space="preserve">Constraints: Must work in single color (mono) at 16px favicon size. Must remain legible on dark and light backgrounds. Final files in SVG, PNG, and brand book in PDF.</w:t>
      </w:r>
    </w:p>
    <w:p>
      <w:pPr>
        <w:spacing w:after="200"/>
      </w:pPr>
      <w:r>
        <w:t xml:space="preserve">Timeline: Discovery (2 weeks). Concepts (3 weeks, two rounds). Refinement and final delivery (3 weeks). Total 8 weeks from kickoff.</w:t>
      </w:r>
    </w:p>
    <w:p>
      <w:pPr>
        <w:spacing w:after="200"/>
      </w:pPr>
      <w:r>
        <w:t xml:space="preserve">Budget: $25,000 fixed-fee, payable 30/40/30 against milestones.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Brief — Brand Refresh</dc:title>
  <dc:creator>Practiq</dc:creator>
  <dc:description>Sample document for Practiq onboarding — fictional content.</dc:description>
  <cp:lastModifiedBy>Un-named</cp:lastModifiedBy>
  <cp:revision>1</cp:revision>
  <dcterms:created xsi:type="dcterms:W3CDTF">2026-05-07T07:11:24.566Z</dcterms:created>
  <dcterms:modified xsi:type="dcterms:W3CDTF">2026-05-07T07:11:24.566Z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