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1B365D"/>
          <w:sz w:val="56"/>
          <w:szCs w:val="56"/>
        </w:rPr>
        <w:t xml:space="preserve">LEXIBEL</w:t>
      </w:r>
    </w:p>
    <w:p>
      <w:pPr>
        <w:spacing w:after="60"/>
        <w:jc w:val="center"/>
      </w:pPr>
      <w:r>
        <w:rPr>
          <w:rFonts w:ascii="Arial" w:cs="Arial" w:eastAsia="Arial" w:hAnsi="Arial"/>
          <w:i/>
          <w:iCs/>
          <w:color w:val="7F8C8D"/>
          <w:sz w:val="22"/>
          <w:szCs w:val="22"/>
        </w:rPr>
        <w:t xml:space="preserve">L’Écosystème Juridique Intelligent pour le Barreau Belge</w:t>
      </w:r>
    </w:p>
    <w:p>
      <w:pPr>
        <w:spacing w:after="300"/>
      </w:pPr>
    </w:p>
    <w:p>
      <w:pPr>
        <w:pBdr>
          <w:bottom w:val="single" w:color="1B365D" w:sz="6" w:space="1"/>
        </w:pBdr>
        <w:spacing w:after="400"/>
        <w:jc w:val="center"/>
      </w:pPr>
    </w:p>
    <w:p>
      <w:pPr>
        <w:spacing w:after="200"/>
      </w:pPr>
    </w:p>
    <w:p>
      <w:pPr>
        <w:spacing w:after="80"/>
        <w:jc w:val="center"/>
      </w:pPr>
      <w:r>
        <w:rPr>
          <w:rFonts w:ascii="Arial" w:cs="Arial" w:eastAsia="Arial" w:hAnsi="Arial"/>
          <w:b/>
          <w:bCs/>
          <w:color w:val="2D3436"/>
          <w:sz w:val="40"/>
          <w:szCs w:val="40"/>
        </w:rPr>
        <w:t xml:space="preserve">Business Case &amp; Vision Stratégique</w:t>
      </w:r>
    </w:p>
    <w:p>
      <w:pPr>
        <w:spacing w:after="200"/>
        <w:jc w:val="center"/>
      </w:pPr>
      <w:r>
        <w:rPr>
          <w:rFonts w:ascii="Arial" w:cs="Arial" w:eastAsia="Arial" w:hAnsi="Arial"/>
          <w:i/>
          <w:iCs/>
          <w:color w:val="636E72"/>
          <w:sz w:val="24"/>
          <w:szCs w:val="24"/>
        </w:rPr>
        <w:t xml:space="preserve">Document de cadrage pour décideurs, investisseurs et partenaires</w:t>
      </w:r>
    </w:p>
    <w:p>
      <w:pPr>
        <w:spacing w:after="6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Propriété</w:t>
            </w:r>
          </w:p>
        </w:tc>
        <w:tc>
          <w:tcPr>
            <w:tcW w:type="dxa" w:w="6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Identifiant document</w:t>
            </w:r>
          </w:p>
        </w:tc>
        <w:tc>
          <w:tcPr>
            <w:tcW w:type="dxa" w:w="6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LXB-BIZ-001</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Version</w:t>
            </w:r>
          </w:p>
        </w:tc>
        <w:tc>
          <w:tcPr>
            <w:tcW w:type="dxa" w:w="6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v2.0</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6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Février 2026</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Classification</w:t>
            </w:r>
          </w:p>
        </w:tc>
        <w:tc>
          <w:tcPr>
            <w:tcW w:type="dxa" w:w="6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Confidentiel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Projet</w:t>
            </w:r>
          </w:p>
        </w:tc>
        <w:tc>
          <w:tcPr>
            <w:tcW w:type="dxa" w:w="6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LexiBel (Legal Cortex)</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Statut</w:t>
            </w:r>
          </w:p>
        </w:tc>
        <w:tc>
          <w:tcPr>
            <w:tcW w:type="dxa" w:w="6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Prêt pour développement</w:t>
            </w:r>
          </w:p>
        </w:tc>
      </w:tr>
    </w:tbl>
    <w:p>
      <w:r>
        <w:br w:type="page"/>
      </w:r>
    </w:p>
    <w:p>
      <w:pPr>
        <w:pStyle w:val="Heading1"/>
      </w:pPr>
      <w: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Résumé Exécutif</w:t>
      </w:r>
    </w:p>
    <w:p>
      <w:pPr>
        <w:spacing w:after="140" w:line="276"/>
        <w:jc w:val="both"/>
      </w:pPr>
      <w:r>
        <w:t xml:space="preserve">LexiBel est un Practice Management System (PMS) IA-natif conçu depuis zéro pour le Barreau belge. Contrairement aux solutions existantes qui ajoutent de l’IA en surcouche, LexiBel intègre l’intelligence artificielle comme substrat même de son architecture. Chaque interaction (email, appel, dépôt judiciaire, transcription d’audience) alimente un « Cerveau de Dossier » (Case Brain) qui transforme les données brutes en connaissances actionnables, sourcées et auditables.</w:t>
      </w:r>
    </w:p>
    <w:p>
      <w:pPr>
        <w:spacing w:after="140" w:line="276"/>
        <w:jc w:val="both"/>
      </w:pPr>
      <w:r>
        <w:t xml:space="preserve">Le marché belge de la gestion de cabinet est verrouillé par des acteurs historiques (Forlex, Kleos, DLex/Cicero) dont les architectures datent d’une décennie ou plus. Aucun ne propose de véritable intelligence de dossier. Les solutions internationales (Clio, Rocket Matter) ignorent les spécificités belges fondamentales : valorisation des prestations, facturation Peppol (obligatoire B2B depuis le 1er janvier 2026), comptabilité de tiers rubriquée, intégrations DPA, et surtout le cadre déontologique strict du secret professionnel (art. 458 Code pénal).</w:t>
      </w:r>
    </w:p>
    <w:p>
      <w:pPr>
        <w:pStyle w:val="Heading2"/>
      </w:pPr>
      <w:r>
        <w:t xml:space="preserve">1.1 Proposition de valeur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506"/>
      </w:tblGrid>
      <w:tr>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4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Promesse LexiBel</w:t>
            </w:r>
          </w:p>
        </w:tc>
        <w:tc>
          <w:tcPr>
            <w:tcW w:type="dxa" w:w="3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Vs. Concurrence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Intelligence de dossier</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GraphRAG + Knowledge Graph par dossier, raisonnement multi-sauts</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RAG basique ou absent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Personnalisation</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Multi-LoRA : l’IA écrit comme le cabinet dès J1</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Générique one-size-fits-all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Secret professionnel</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Privilege Guard BERT + pseudonymisation avant LLM</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Disclaimers sans contrôle technique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Migration</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Centre de migration zéro perte par outil (Forlex, DPA, Kleos)</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Import CSV basique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Conformité Belgique</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Peppol natif, DPA intégré, compte de tiers rubriqué</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Peppol absent ou add-on coûteux</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Souveraineté</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Cloud UE (Scaleway/OVH), BYOK, crypto-shredding</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AWS US par défaut</w:t>
            </w:r>
          </w:p>
        </w:tc>
      </w:tr>
    </w:tbl>
    <w:p>
      <w:r>
        <w:br w:type="page"/>
      </w:r>
    </w:p>
    <w:p>
      <w:pPr>
        <w:pStyle w:val="Heading1"/>
      </w:pPr>
      <w:r>
        <w:t xml:space="preserve">2. Analyse de Marché</w:t>
      </w:r>
    </w:p>
    <w:p>
      <w:pPr>
        <w:pStyle w:val="Heading2"/>
      </w:pPr>
      <w:r>
        <w:t xml:space="preserve">2.1 Taille et dynamique du marché belge</w:t>
      </w:r>
    </w:p>
    <w:p>
      <w:pPr>
        <w:spacing w:after="140" w:line="276"/>
        <w:jc w:val="both"/>
      </w:pPr>
      <w:r>
        <w:t xml:space="preserve">La Belgique compte environ 18 500 avocats répartis entre l’OBFG (Ordre des Barreaux Francophones et Germanophone) et l’OVB (Orde van Vlaamse Balies). Le marché se structure en trois segments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2200"/>
        <w:gridCol w:w="1906"/>
      </w:tblGrid>
      <w:tr>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Segment</w:t>
            </w:r>
          </w:p>
        </w:tc>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Nombre de cabinets</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Taille</w:t>
            </w:r>
          </w:p>
        </w:tc>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Budget IT annuel estimé</w:t>
            </w:r>
          </w:p>
        </w:tc>
        <w:tc>
          <w:tcPr>
            <w:tcW w:type="dxa" w:w="1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Outil actuel dominant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Solo / Micro</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~8 000</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1–2 avocats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500–1 500 €</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Excel / Forlex basique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PME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~2 500</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3–15 avocats</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3 000–15 000 €</w:t>
            </w:r>
          </w:p>
        </w:tc>
        <w:tc>
          <w:tcPr>
            <w:tcW w:type="dxa" w:w="1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Forlex / Kleos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Mid-Law / Big Law</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~200</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15–100+ avocats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30 000–200 000 €</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Kleos / DLex / Cicero</w:t>
            </w:r>
          </w:p>
        </w:tc>
      </w:tr>
    </w:tbl>
    <w:p>
      <w:pPr>
        <w:spacing w:after="140" w:line="276"/>
        <w:jc w:val="both"/>
      </w:pPr>
      <w:r>
        <w:rPr>
          <w:b/>
          <w:bCs/>
        </w:rPr>
        <w:t xml:space="preserve">TAM (Total Addressable Market) : </w:t>
      </w:r>
      <w:r>
        <w:t xml:space="preserve">environ 45–60 M€/an pour un SaaS couvrant PMS + IA + facturation Peppol. L’obligation Peppol B2B au 01/01/2026 crée un point d’inflexion majeur : tous les cabinets doivent mettre à jour leur outil de facturation, ouvrant une fenêtre de migration sans précédent.</w:t>
      </w:r>
    </w:p>
    <w:p>
      <w:pPr>
        <w:pStyle w:val="Heading2"/>
      </w:pPr>
      <w:r>
        <w:t xml:space="preserve">2.2 Analyse concurrentielle détaillée</w:t>
      </w:r>
    </w:p>
    <w:p>
      <w:pPr>
        <w:pStyle w:val="Heading3"/>
      </w:pPr>
      <w:r>
        <w:t xml:space="preserve">2.2.1 Forlex (Belgique, leader historique FR)</w:t>
      </w:r>
    </w:p>
    <w:p>
      <w:pPr>
        <w:spacing w:after="140" w:line="276"/>
        <w:jc w:val="both"/>
      </w:pPr>
      <w:r>
        <w:t xml:space="preserve">Forlex se positionne comme « tout-en-un » pour avocats : dossiers, agenda, timesheet, facturation + compta, assistant IA, fusion Word/PDF, recherche fulltext, versioning, calcul contentieux, dashboards, connexion Outlook, cloud + 100 Go, modules Peppol/médiation.</w:t>
      </w:r>
    </w:p>
    <w:p>
      <w:pPr>
        <w:pStyle w:val="ListParagraph"/>
        <w:numPr>
          <w:ilvl w:val="0"/>
          <w:numId w:val="2"/>
        </w:numPr>
        <w:spacing w:after="60" w:line="276"/>
      </w:pPr>
      <w:r>
        <w:rPr>
          <w:b/>
          <w:bCs/>
        </w:rPr>
        <w:t xml:space="preserve">Forces : </w:t>
      </w:r>
      <w:r>
        <w:t xml:space="preserve">parité fonctionnelle cabinet belge, base installée significative côté OBFG, module Peppol natif annoncé.</w:t>
      </w:r>
    </w:p>
    <w:p>
      <w:pPr>
        <w:pStyle w:val="ListParagraph"/>
        <w:numPr>
          <w:ilvl w:val="0"/>
          <w:numId w:val="2"/>
        </w:numPr>
        <w:spacing w:after="60" w:line="276"/>
      </w:pPr>
      <w:r>
        <w:rPr>
          <w:b/>
          <w:bCs/>
        </w:rPr>
        <w:t xml:space="preserve">Faiblesses : </w:t>
      </w:r>
      <w:r>
        <w:t xml:space="preserve">architecture monolithique vieillissante, IA limitée (résumé/transcription basique), pas de GraphRAG, pas d’isolation multi-tenant moderne, UX datée.</w:t>
      </w:r>
    </w:p>
    <w:p>
      <w:pPr>
        <w:pStyle w:val="ListParagraph"/>
        <w:numPr>
          <w:ilvl w:val="0"/>
          <w:numId w:val="2"/>
        </w:numPr>
        <w:spacing w:after="60" w:line="276"/>
      </w:pPr>
      <w:r>
        <w:rPr>
          <w:b/>
          <w:bCs/>
        </w:rPr>
        <w:t xml:space="preserve">Stratégie LexiBel : </w:t>
      </w:r>
      <w:r>
        <w:t xml:space="preserve">parité fonctionnelle sur valorisation/timesheet/compta + supériorité IA massive + migration zéro perte.</w:t>
      </w:r>
    </w:p>
    <w:p>
      <w:pPr>
        <w:pStyle w:val="Heading3"/>
      </w:pPr>
      <w:r>
        <w:t xml:space="preserve">2.2.2 Kleos (Wolters Kluwer, leader NL)</w:t>
      </w:r>
    </w:p>
    <w:p>
      <w:pPr>
        <w:spacing w:after="140" w:line="276"/>
        <w:jc w:val="both"/>
      </w:pPr>
      <w:r>
        <w:t xml:space="preserve">Cloud sécurisé, intégration mobile, portail client (Kleos Connect). Très présent côté OVB.</w:t>
      </w:r>
    </w:p>
    <w:p>
      <w:pPr>
        <w:pStyle w:val="ListParagraph"/>
        <w:numPr>
          <w:ilvl w:val="0"/>
          <w:numId w:val="3"/>
        </w:numPr>
        <w:spacing w:after="60" w:line="276"/>
      </w:pPr>
      <w:r>
        <w:rPr>
          <w:b/>
          <w:bCs/>
        </w:rPr>
        <w:t xml:space="preserve">Forces : </w:t>
      </w:r>
      <w:r>
        <w:t xml:space="preserve">marque Wolters Kluwer, cloud natif, intégration Microsoft.</w:t>
      </w:r>
    </w:p>
    <w:p>
      <w:pPr>
        <w:pStyle w:val="ListParagraph"/>
        <w:numPr>
          <w:ilvl w:val="0"/>
          <w:numId w:val="3"/>
        </w:numPr>
        <w:spacing w:after="60" w:line="276"/>
      </w:pPr>
      <w:r>
        <w:rPr>
          <w:b/>
          <w:bCs/>
        </w:rPr>
        <w:t xml:space="preserve">Faiblesses : </w:t>
      </w:r>
      <w:r>
        <w:t xml:space="preserve">IA générative absente, interface traditionnelle, personnalisation limitée.</w:t>
      </w:r>
    </w:p>
    <w:p>
      <w:pPr>
        <w:pStyle w:val="ListParagraph"/>
        <w:numPr>
          <w:ilvl w:val="0"/>
          <w:numId w:val="3"/>
        </w:numPr>
        <w:spacing w:after="60" w:line="276"/>
      </w:pPr>
      <w:r>
        <w:rPr>
          <w:b/>
          <w:bCs/>
        </w:rPr>
        <w:t xml:space="preserve">Stratégie LexiBel : </w:t>
      </w:r>
      <w:r>
        <w:t xml:space="preserve">dépasser sur rapidité d’interface + IA générative + Migration Center dédié.</w:t>
      </w:r>
    </w:p>
    <w:p>
      <w:pPr>
        <w:pStyle w:val="Heading3"/>
      </w:pPr>
      <w:r>
        <w:t xml:space="preserve">2.2.3 DLex / Cicero (legacy, grands cabinets)</w:t>
      </w:r>
    </w:p>
    <w:p>
      <w:pPr>
        <w:spacing w:after="140" w:line="276"/>
        <w:jc w:val="both"/>
      </w:pPr>
      <w:r>
        <w:t xml:space="preserve">Robustesse éprouvée, intégration Microsoft Office profonde, base SQL on-premise.</w:t>
      </w:r>
    </w:p>
    <w:p>
      <w:pPr>
        <w:pStyle w:val="ListParagraph"/>
        <w:numPr>
          <w:ilvl w:val="0"/>
          <w:numId w:val="4"/>
        </w:numPr>
        <w:spacing w:after="60" w:line="276"/>
      </w:pPr>
      <w:r>
        <w:rPr>
          <w:b/>
          <w:bCs/>
        </w:rPr>
        <w:t xml:space="preserve">Forces : </w:t>
      </w:r>
      <w:r>
        <w:t xml:space="preserve">fiabilité, personnalisation macros.</w:t>
      </w:r>
    </w:p>
    <w:p>
      <w:pPr>
        <w:pStyle w:val="ListParagraph"/>
        <w:numPr>
          <w:ilvl w:val="0"/>
          <w:numId w:val="4"/>
        </w:numPr>
        <w:spacing w:after="60" w:line="276"/>
      </w:pPr>
      <w:r>
        <w:rPr>
          <w:b/>
          <w:bCs/>
        </w:rPr>
        <w:t xml:space="preserve">Faiblesses : </w:t>
      </w:r>
      <w:r>
        <w:t xml:space="preserve">pas cloud natif, maintenance lourde, macros Word vieillissantes.</w:t>
      </w:r>
    </w:p>
    <w:p>
      <w:pPr>
        <w:pStyle w:val="ListParagraph"/>
        <w:numPr>
          <w:ilvl w:val="0"/>
          <w:numId w:val="4"/>
        </w:numPr>
        <w:spacing w:after="60" w:line="276"/>
      </w:pPr>
      <w:r>
        <w:rPr>
          <w:b/>
          <w:bCs/>
        </w:rPr>
        <w:t xml:space="preserve">Stratégie LexiBel : </w:t>
      </w:r>
      <w:r>
        <w:t xml:space="preserve">remplacer les macros par rédaction assistée IA + migration SQL legacy.</w:t>
      </w:r>
    </w:p>
    <w:p>
      <w:pPr>
        <w:pStyle w:val="Heading3"/>
      </w:pPr>
      <w:r>
        <w:t xml:space="preserve">2.2.4 Acteurs internationaux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800"/>
        <w:gridCol w:w="1706"/>
      </w:tblGrid>
      <w:tr>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Acteur</w:t>
            </w:r>
          </w:p>
        </w:tc>
        <w:tc>
          <w:tcPr>
            <w:tcW w:type="dxa" w:w="2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Cœur</w:t>
            </w:r>
          </w:p>
        </w:tc>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IA</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Belgique</w:t>
            </w:r>
          </w:p>
        </w:tc>
        <w:tc>
          <w:tcPr>
            <w:tcW w:type="dxa" w:w="1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Brèche LexiBel</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Clio</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PMS ops (dossiers/contacts/factures)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Copilote admin (extraction dates, résumé PDF)</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Valorisation absente, pas Peppol, pas DPA</w:t>
            </w:r>
          </w:p>
        </w:tc>
        <w:tc>
          <w:tcPr>
            <w:tcW w:type="dxa" w:w="1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Profondeur raisonnement + conformité belge</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Lexis+ AI</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Recherche juridique + Shepard’s</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RAG massif sur corpus propriétaire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Ignore les faits du dossier</w:t>
            </w:r>
          </w:p>
        </w:tc>
        <w:tc>
          <w:tcPr>
            <w:tcW w:type="dxa" w:w="1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Fusion faits + droit dans Case Brain</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Rocket Matter</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Gestion projet (Kanban) + BI</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Automatisation déterministe (règles)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Aucune spécificité belge</w:t>
            </w:r>
          </w:p>
        </w:tc>
        <w:tc>
          <w:tcPr>
            <w:tcW w:type="dxa" w:w="1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IA générative + conformité</w:t>
            </w:r>
          </w:p>
        </w:tc>
      </w:tr>
    </w:tbl>
    <w:p>
      <w:pPr>
        <w:pStyle w:val="Heading2"/>
      </w:pPr>
      <w:r>
        <w:t xml:space="preserve">2.3 Matrice d’opportunité stratégique</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906"/>
      </w:tblGrid>
      <w:tr>
        <w:tc>
          <w:tcPr>
            <w:tcW w:type="dxa" w:w="2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Clio</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Lexis+AI</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Forlex</w:t>
            </w:r>
          </w:p>
        </w:tc>
        <w:tc>
          <w:tcPr>
            <w:tcW w:type="dxa" w:w="1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LexiBel (cible)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Cœur du système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Base relationnelle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Base documentaire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Base comptable</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Graphe de connaissances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Approche IA</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Copilote admin</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Assistant recherche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Résumé basique</w:t>
            </w:r>
          </w:p>
        </w:tc>
        <w:tc>
          <w:tcPr>
            <w:tcW w:type="dxa" w:w="1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Agent autonome + analytique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Personnalisation IA</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Faible (générique)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Nulle (standardisé)</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Nulle</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Élevée (Multi-LoRA/cabinet)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Intégration faits+droit</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Partielle (via vLex)</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Droit seul</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Aucune</w:t>
            </w:r>
          </w:p>
        </w:tc>
        <w:tc>
          <w:tcPr>
            <w:tcW w:type="dxa" w:w="1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Fusion native Case Brain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Conformité belge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Inexistante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Inexistante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Complète</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Complète + IA</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Sécurité données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Cloud standard</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Cloud standard</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Cloud hébergé</w:t>
            </w:r>
          </w:p>
        </w:tc>
        <w:tc>
          <w:tcPr>
            <w:tcW w:type="dxa" w:w="1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Souveraineté UE + BYOK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Secret professionnel</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Disclaimers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Basique</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Privilege Guard NLP</w:t>
            </w:r>
          </w:p>
        </w:tc>
      </w:tr>
    </w:tbl>
    <w:p>
      <w:r>
        <w:br w:type="page"/>
      </w:r>
    </w:p>
    <w:p>
      <w:pPr>
        <w:pStyle w:val="Heading1"/>
      </w:pPr>
      <w:r>
        <w:t xml:space="preserve">3. Les 5 Innovations de Rupture</w:t>
      </w:r>
    </w:p>
    <w:p>
      <w:pPr>
        <w:pStyle w:val="Heading2"/>
      </w:pPr>
      <w:r>
        <w:t xml:space="preserve">3.1 Legal GraphRAG : le raisonnement juridique hybrid</w:t>
      </w:r>
    </w:p>
    <w:p>
      <w:pPr>
        <w:pStyle w:val="Heading3"/>
      </w:pPr>
      <w:r>
        <w:t xml:space="preserve">Le problème</w:t>
      </w:r>
    </w:p>
    <w:p>
      <w:pPr>
        <w:spacing w:after="140" w:line="276"/>
        <w:jc w:val="both"/>
      </w:pPr>
      <w:r>
        <w:t xml:space="preserve">Les LLM actuels souffrent de deux maux en droit : l’hallucination (inventer des faits ou des lois) et l’incapacité à raisonner sur des structures complexes. Le RAG classique (recherche vectorielle) échoue sur les questions multi-sauts.</w:t>
      </w:r>
    </w:p>
    <w:p>
      <w:pPr>
        <w:spacing w:after="140" w:line="276"/>
        <w:jc w:val="both"/>
      </w:pPr>
      <w:r>
        <w:rPr>
          <w:i/>
          <w:iCs/>
        </w:rPr>
        <w:t xml:space="preserve">Exemple d’échec : </w:t>
      </w:r>
      <w:r>
        <w:t xml:space="preserve">« Quel est l’impact de l’avenant n°3 (pièce 12) sur la clause de non-concurrence du contrat initial (pièce 1), compte tenu de la jurisprudence récente sur la durée excessive ? » Un RAG classique trouvera les documents, mais ne liera pas logiquement avenant, contrat et jurisprudence.</w:t>
      </w:r>
    </w:p>
    <w:p>
      <w:pPr>
        <w:pStyle w:val="Heading3"/>
      </w:pPr>
      <w:r>
        <w:t xml:space="preserve">La solution LexiBel</w:t>
      </w:r>
    </w:p>
    <w:p>
      <w:pPr>
        <w:spacing w:after="140" w:line="276"/>
        <w:jc w:val="both"/>
      </w:pPr>
      <w:r>
        <w:t xml:space="preserve">Pour chaque dossier, un Knowledge Graph dynamique (Neo4j) stocke les entités (personnes, sociétés, articles de loi, pièces, événements, échéances, montants, clauses) et leurs relations sémantiques. Le flux de requête combine recherche vectorielle (Top-K chunks), expansion graphe (traversée 2 sauts), re-ranking (cross-encoder), et génération citée avec application stricte du principe « No Source, No Claim ».</w:t>
      </w:r>
    </w:p>
    <w:p>
      <w:pPr>
        <w:pStyle w:val="Heading3"/>
      </w:pPr>
      <w:r>
        <w:t xml:space="preserve">Impact business</w:t>
      </w:r>
    </w:p>
    <w:p>
      <w:pPr>
        <w:pStyle w:val="ListParagraph"/>
        <w:numPr>
          <w:ilvl w:val="0"/>
          <w:numId w:val="5"/>
        </w:numPr>
        <w:spacing w:after="60" w:line="276"/>
      </w:pPr>
      <w:r>
        <w:rPr>
          <w:b/>
          <w:bCs/>
        </w:rPr>
        <w:t xml:space="preserve">Fiabilité : </w:t>
      </w:r>
      <w:r>
        <w:t xml:space="preserve">l’avocat voit le cheminement logique de chaque réponse.</w:t>
      </w:r>
    </w:p>
    <w:p>
      <w:pPr>
        <w:pStyle w:val="ListParagraph"/>
        <w:numPr>
          <w:ilvl w:val="0"/>
          <w:numId w:val="5"/>
        </w:numPr>
        <w:spacing w:after="60" w:line="276"/>
      </w:pPr>
      <w:r>
        <w:rPr>
          <w:b/>
          <w:bCs/>
        </w:rPr>
        <w:t xml:space="preserve">Gain de temps : </w:t>
      </w:r>
      <w:r>
        <w:t xml:space="preserve">analyse instantanée des contradictions dans les dossiers adverses.</w:t>
      </w:r>
    </w:p>
    <w:p>
      <w:pPr>
        <w:pStyle w:val="ListParagraph"/>
        <w:numPr>
          <w:ilvl w:val="0"/>
          <w:numId w:val="5"/>
        </w:numPr>
        <w:spacing w:after="60" w:line="276"/>
      </w:pPr>
      <w:r>
        <w:rPr>
          <w:b/>
          <w:bCs/>
        </w:rPr>
        <w:t xml:space="preserve">Différenciation : </w:t>
      </w:r>
      <w:r>
        <w:t xml:space="preserve">aucun concurrent ne propose cette profondeur de raisonnement.</w:t>
      </w:r>
    </w:p>
    <w:p>
      <w:pPr>
        <w:pStyle w:val="Heading2"/>
      </w:pPr>
      <w:r>
        <w:t xml:space="preserve">3.2 Multi-LoRA : la personnalisation moléculaire par cabinet</w:t>
      </w:r>
    </w:p>
    <w:p>
      <w:pPr>
        <w:pStyle w:val="Heading3"/>
      </w:pPr>
      <w:r>
        <w:t xml:space="preserve">Le problème</w:t>
      </w:r>
    </w:p>
    <w:p>
      <w:pPr>
        <w:spacing w:after="140" w:line="276"/>
        <w:jc w:val="both"/>
      </w:pPr>
      <w:r>
        <w:t xml:space="preserve">Chaque cabinet a une identité, un style et des modèles intellectuels propres. Les IA actuelles produisent du contenu standardisé nécessitant une réécriture lourde. Le fine-tuning complet d’un modèle par client est économiquement impossible.</w:t>
      </w:r>
    </w:p>
    <w:p>
      <w:pPr>
        <w:pStyle w:val="Heading3"/>
      </w:pPr>
      <w:r>
        <w:t xml:space="preserve">La solution LexiBel</w:t>
      </w:r>
    </w:p>
    <w:p>
      <w:pPr>
        <w:spacing w:after="140" w:line="276"/>
        <w:jc w:val="both"/>
      </w:pPr>
      <w:r>
        <w:t xml:space="preserve">Un modèle fondation unique (ex: Mistral Large) via vLLM. Pour chaque cabinet, des adaptateurs LoRA (quelques Mo) entraînés sur les écrits passés (conclusions, consultations, courriers). Chargement dynamique au moment de l’inférence sans latence.</w:t>
      </w:r>
    </w:p>
    <w:p>
      <w:pPr>
        <w:pStyle w:val="Heading3"/>
      </w:pPr>
      <w:r>
        <w:t xml:space="preserve">Impact business</w:t>
      </w:r>
    </w:p>
    <w:p>
      <w:pPr>
        <w:pStyle w:val="ListParagraph"/>
        <w:numPr>
          <w:ilvl w:val="0"/>
          <w:numId w:val="6"/>
        </w:numPr>
        <w:spacing w:after="60" w:line="276"/>
      </w:pPr>
      <w:r>
        <w:rPr>
          <w:b/>
          <w:bCs/>
        </w:rPr>
        <w:t xml:space="preserve">Adoption immédiate : </w:t>
      </w:r>
      <w:r>
        <w:t xml:space="preserve">l’IA « parle » comme l’avocat. Temps de révision de 45 min à 5 min.</w:t>
      </w:r>
    </w:p>
    <w:p>
      <w:pPr>
        <w:pStyle w:val="ListParagraph"/>
        <w:numPr>
          <w:ilvl w:val="0"/>
          <w:numId w:val="6"/>
        </w:numPr>
        <w:spacing w:after="60" w:line="276"/>
      </w:pPr>
      <w:r>
        <w:rPr>
          <w:b/>
          <w:bCs/>
        </w:rPr>
        <w:t xml:space="preserve">Différenciation : </w:t>
      </w:r>
      <w:r>
        <w:t xml:space="preserve">le cabinet vend du contenu imprégné de son expertise, pas du « contenu GPT ».</w:t>
      </w:r>
    </w:p>
    <w:p>
      <w:pPr>
        <w:pStyle w:val="Heading2"/>
      </w:pPr>
      <w:r>
        <w:t xml:space="preserve">3.3 Agents autonomes de due diligence</w:t>
      </w:r>
    </w:p>
    <w:p>
      <w:pPr>
        <w:spacing w:after="140" w:line="276"/>
        <w:jc w:val="both"/>
      </w:pPr>
      <w:r>
        <w:t xml:space="preserve">Les opérations M&amp;A ou contentieux de masse exigent la revue de milliers de documents. LexiBel déploie une équipe d’agents spécialisés (LangGraph) : Agent Explorateur (parcours fichiers), Agent Lecteur (classifie documents), Agent Analyste (extrait clauses clés, détecte anomalies), Agent Synthétiseur (compile rapport). Fonctionnement en boucle avec auto-correction et Human-in-the-Loop en cas d’ambiguïté.</w:t>
      </w:r>
    </w:p>
    <w:p>
      <w:pPr>
        <w:spacing w:after="140" w:line="276"/>
        <w:jc w:val="both"/>
      </w:pPr>
      <w:r>
        <w:rPr>
          <w:b/>
          <w:bCs/>
        </w:rPr>
        <w:t xml:space="preserve">Impact : </w:t>
      </w:r>
      <w:r>
        <w:t xml:space="preserve">audit de 1 000 contrats pré-traité en une nuit au lieu d’une semaine.</w:t>
      </w:r>
    </w:p>
    <w:p>
      <w:pPr>
        <w:pStyle w:val="Heading2"/>
      </w:pPr>
      <w:r>
        <w:t xml:space="preserve">3.4 Radar émotionnel client</w:t>
      </w:r>
    </w:p>
    <w:p>
      <w:pPr>
        <w:spacing w:after="140" w:line="276"/>
        <w:jc w:val="both"/>
      </w:pPr>
      <w:r>
        <w:t xml:space="preserve">NLP comportemental sur les communications client : Score de Stress et Score d’Urgence en temps réel, détection de changements brusques de ton, alerte associé responsable, tri To-Do List par Risque Relationnel.</w:t>
      </w:r>
    </w:p>
    <w:p>
      <w:pPr>
        <w:spacing w:after="140" w:line="276"/>
        <w:jc w:val="both"/>
      </w:pPr>
      <w:r>
        <w:rPr>
          <w:b/>
          <w:bCs/>
        </w:rPr>
        <w:t xml:space="preserve">Impact : </w:t>
      </w:r>
      <w:r>
        <w:t xml:space="preserve">réduction du churn client en détectant les signaux faibles d’insatisfaction avant qu’il ne soit trop tard.</w:t>
      </w:r>
    </w:p>
    <w:p>
      <w:pPr>
        <w:pStyle w:val="Heading2"/>
      </w:pPr>
      <w:r>
        <w:t xml:space="preserve">3.5 Privilege Guard (bouclier secret professionnel)</w:t>
      </w:r>
    </w:p>
    <w:p>
      <w:pPr>
        <w:spacing w:after="140" w:line="276"/>
        <w:jc w:val="both"/>
      </w:pPr>
      <w:r>
        <w:t xml:space="preserve">Modèle BERT fine-tuné sur corpus juridiques belges, agissant comme pare-feu sémantique avant toute transmission de données vers un LLM. Détection du caractère privilégié par analyse contextuelle (pas seulement la mention « confidentiel »), classification PII, pseudonymisation automatique. Le tout avec journalisation complète des décisions de redaction.</w:t>
      </w:r>
    </w:p>
    <w:p>
      <w:pPr>
        <w:spacing w:after="140" w:line="276"/>
        <w:jc w:val="both"/>
      </w:pPr>
      <w:r>
        <w:rPr>
          <w:b/>
          <w:bCs/>
        </w:rPr>
        <w:t xml:space="preserve">Impact : </w:t>
      </w:r>
      <w:r>
        <w:t xml:space="preserve">conformité native aux obligations du Code de déontologie OBFG/OVB et aux lignes directrices OVB sur l’IA (2024), sans compromis sur la productivité.</w:t>
      </w:r>
    </w:p>
    <w:p>
      <w:r>
        <w:br w:type="page"/>
      </w:r>
    </w:p>
    <w:p>
      <w:pPr>
        <w:pStyle w:val="Heading1"/>
      </w:pPr>
      <w:r>
        <w:t xml:space="preserve">4. Modèle Économique</w:t>
      </w:r>
    </w:p>
    <w:p>
      <w:pPr>
        <w:pStyle w:val="Heading2"/>
      </w:pPr>
      <w:r>
        <w:t xml:space="preserve">4.1 Pricing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2400"/>
        <w:gridCol w:w="17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w:t>
            </w:r>
          </w:p>
        </w:tc>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Cible</w:t>
            </w:r>
          </w:p>
        </w:tc>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Prix/utilisateur/mois</w:t>
            </w:r>
          </w:p>
        </w:tc>
        <w:tc>
          <w:tcPr>
            <w:tcW w:type="dxa" w:w="2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Inclus</w:t>
            </w:r>
          </w:p>
        </w:tc>
        <w:tc>
          <w:tcPr>
            <w:tcW w:type="dxa" w:w="1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IA</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Essential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Solo / Micro (1–3)</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49 €</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PMS + DPA + Peppol + 5 Go</w:t>
            </w:r>
          </w:p>
        </w:tc>
        <w:tc>
          <w:tcPr>
            <w:tcW w:type="dxa" w:w="1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Recherche sémantique</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Professional</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PME (3–15)</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89 €</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Essential + Plaud + Ringover + Migration + 25 Go</w:t>
            </w:r>
          </w:p>
        </w:tc>
        <w:tc>
          <w:tcPr>
            <w:tcW w:type="dxa" w:w="1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Case Brain + RAG complet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Enterprise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Mid/Big Law (15+)</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Sur devis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Professional + BYOK + SLA + silo dédié + illimité</w:t>
            </w:r>
          </w:p>
        </w:tc>
        <w:tc>
          <w:tcPr>
            <w:tcW w:type="dxa" w:w="1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Multi-LoRA + Agents + API</w:t>
            </w:r>
          </w:p>
        </w:tc>
      </w:tr>
    </w:tbl>
    <w:p>
      <w:pPr>
        <w:pStyle w:val="Heading2"/>
      </w:pPr>
      <w:r>
        <w:t xml:space="preserve">4.2 Stratégie de lancement</w:t>
      </w:r>
    </w:p>
    <w:p>
      <w:pPr>
        <w:pStyle w:val="ListParagraph"/>
        <w:numPr>
          <w:ilvl w:val="0"/>
          <w:numId w:val="7"/>
        </w:numPr>
        <w:spacing w:after="60" w:line="276"/>
      </w:pPr>
      <w:r>
        <w:rPr>
          <w:b/>
          <w:bCs/>
        </w:rPr>
        <w:t xml:space="preserve">Mois 0–6 (Fortress) : </w:t>
      </w:r>
      <w:r>
        <w:t xml:space="preserve">2 cabinets pilotes gratuits, validation Peppol + DPA, PenTest.</w:t>
      </w:r>
    </w:p>
    <w:p>
      <w:pPr>
        <w:pStyle w:val="ListParagraph"/>
        <w:numPr>
          <w:ilvl w:val="0"/>
          <w:numId w:val="7"/>
        </w:numPr>
        <w:spacing w:after="60" w:line="276"/>
      </w:pPr>
      <w:r>
        <w:rPr>
          <w:b/>
          <w:bCs/>
        </w:rPr>
        <w:t xml:space="preserve">Mois 6–12 (Brain) : </w:t>
      </w:r>
      <w:r>
        <w:t xml:space="preserve">10 cabinets payants, tarif early adopter -30%, migration Forlex/DPA.</w:t>
      </w:r>
    </w:p>
    <w:p>
      <w:pPr>
        <w:pStyle w:val="ListParagraph"/>
        <w:numPr>
          <w:ilvl w:val="0"/>
          <w:numId w:val="7"/>
        </w:numPr>
        <w:spacing w:after="60" w:line="276"/>
      </w:pPr>
      <w:r>
        <w:rPr>
          <w:b/>
          <w:bCs/>
        </w:rPr>
        <w:t xml:space="preserve">Mois 12–18 (Scale) : </w:t>
      </w:r>
      <w:r>
        <w:t xml:space="preserve">20+ cabinets, lancement public, partenariats barreaux, app mobile.</w:t>
      </w:r>
    </w:p>
    <w:p>
      <w:pPr>
        <w:pStyle w:val="Heading2"/>
      </w:pPr>
      <w:r>
        <w:t xml:space="preserve">4.3 Métriques de succès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106"/>
      </w:tblGrid>
      <w:tr>
        <w:tc>
          <w:tcPr>
            <w:tcW w:type="dxa" w:w="3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 1 (M6)</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 2 (M12)</w:t>
            </w:r>
          </w:p>
        </w:tc>
        <w:tc>
          <w:tcPr>
            <w:tcW w:type="dxa" w:w="21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 3 (M18)</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Cabinets actifs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 pilotes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10 payants</w:t>
            </w:r>
          </w:p>
        </w:tc>
        <w:tc>
          <w:tcPr>
            <w:tcW w:type="dxa" w:w="2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20+</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MRR</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0 €</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~15 000 €</w:t>
            </w:r>
          </w:p>
        </w:tc>
        <w:tc>
          <w:tcPr>
            <w:tcW w:type="dxa" w:w="2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~80 000 €</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Taux rattachement correct (IA)</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N/A (heuristiques)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&gt; 70%</w:t>
            </w:r>
          </w:p>
        </w:tc>
        <w:tc>
          <w:tcPr>
            <w:tcW w:type="dxa" w:w="2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&gt; 85%</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Citation coverage RAG</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95%</w:t>
            </w:r>
          </w:p>
        </w:tc>
        <w:tc>
          <w:tcPr>
            <w:tcW w:type="dxa" w:w="2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98%</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Temps révision draft IA</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-50%</w:t>
            </w:r>
          </w:p>
        </w:tc>
        <w:tc>
          <w:tcPr>
            <w:tcW w:type="dxa" w:w="2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-80%</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NPS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30</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40</w:t>
            </w:r>
          </w:p>
        </w:tc>
        <w:tc>
          <w:tcPr>
            <w:tcW w:type="dxa" w:w="2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45</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Cross-tenant leaks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2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0</w:t>
            </w:r>
          </w:p>
        </w:tc>
      </w:tr>
    </w:tbl>
    <w:p>
      <w:r>
        <w:br w:type="page"/>
      </w:r>
    </w:p>
    <w:p>
      <w:pPr>
        <w:pStyle w:val="Heading1"/>
      </w:pPr>
      <w:r>
        <w:t xml:space="preserve">5. Cadre Réglementaire Belge</w:t>
      </w:r>
    </w:p>
    <w:p>
      <w:pPr>
        <w:pStyle w:val="Heading2"/>
      </w:pPr>
      <w:r>
        <w:t xml:space="preserve">5.1 Secret professionnel (art. 458 C. pénal)</w:t>
      </w:r>
    </w:p>
    <w:p>
      <w:pPr>
        <w:spacing w:after="140" w:line="276"/>
        <w:jc w:val="both"/>
      </w:pPr>
      <w:r>
        <w:t xml:space="preserve">Obligation cardinale de ne pas divulguer les confidences reçues dans l’exercice de la profession. Violation sanctionnée pénalement. Toute la conception LexiBel est « privacy/privilege-by-design » : isolation des données, chiffrement, contrôle d’accès strict, audit immuable, pseudonymisation avant LLM.</w:t>
      </w:r>
    </w:p>
    <w:p>
      <w:pPr>
        <w:pStyle w:val="Heading2"/>
      </w:pPr>
      <w:r>
        <w:t xml:space="preserve">5.2 Lignes directrices OVB sur l’IA (2024)</w:t>
      </w:r>
    </w:p>
    <w:p>
      <w:pPr>
        <w:spacing w:after="140" w:line="276"/>
        <w:jc w:val="both"/>
      </w:pPr>
      <w:r>
        <w:t xml:space="preserve">Cadre déontologique pour l’usage de l’IA par les avocats :</w:t>
      </w:r>
    </w:p>
    <w:p>
      <w:pPr>
        <w:pStyle w:val="ListParagraph"/>
        <w:numPr>
          <w:ilvl w:val="0"/>
          <w:numId w:val="8"/>
        </w:numPr>
        <w:spacing w:after="60" w:line="276"/>
      </w:pPr>
      <w:r>
        <w:rPr>
          <w:b/>
          <w:bCs/>
        </w:rPr>
        <w:t xml:space="preserve">Responsabilité de l’avocat : </w:t>
      </w:r>
      <w:r>
        <w:t xml:space="preserve">l’avocat reste responsable des outputs, même générés par IA.</w:t>
      </w:r>
    </w:p>
    <w:p>
      <w:pPr>
        <w:pStyle w:val="ListParagraph"/>
        <w:numPr>
          <w:ilvl w:val="0"/>
          <w:numId w:val="8"/>
        </w:numPr>
        <w:spacing w:after="60" w:line="276"/>
      </w:pPr>
      <w:r>
        <w:rPr>
          <w:b/>
          <w:bCs/>
        </w:rPr>
        <w:t xml:space="preserve">Vérification critique : </w:t>
      </w:r>
      <w:r>
        <w:t xml:space="preserve">obligation de vérifier les résultats et les sources.</w:t>
      </w:r>
    </w:p>
    <w:p>
      <w:pPr>
        <w:pStyle w:val="ListParagraph"/>
        <w:numPr>
          <w:ilvl w:val="0"/>
          <w:numId w:val="8"/>
        </w:numPr>
        <w:spacing w:after="60" w:line="276"/>
      </w:pPr>
      <w:r>
        <w:rPr>
          <w:b/>
          <w:bCs/>
        </w:rPr>
        <w:t xml:space="preserve">Pseudonymisation : </w:t>
      </w:r>
      <w:r>
        <w:t xml:space="preserve">interdiction d’introduire des infos couvertes par le secret pro dans des outils IA « ouverts ».</w:t>
      </w:r>
    </w:p>
    <w:p>
      <w:pPr>
        <w:pStyle w:val="ListParagraph"/>
        <w:numPr>
          <w:ilvl w:val="0"/>
          <w:numId w:val="8"/>
        </w:numPr>
        <w:spacing w:after="60" w:line="276"/>
      </w:pPr>
      <w:r>
        <w:rPr>
          <w:b/>
          <w:bCs/>
        </w:rPr>
        <w:t xml:space="preserve">Conditions d’usage : </w:t>
      </w:r>
      <w:r>
        <w:t xml:space="preserve">vérifier les conditions (training, stockage, localisation, système ouvert/fermé).</w:t>
      </w:r>
    </w:p>
    <w:p>
      <w:pPr>
        <w:pBdr>
          <w:left w:val="single" w:color="E74C3C" w:sz="12" w:space="8"/>
        </w:pBdr>
        <w:spacing w:after="160" w:line="276"/>
        <w:ind w:left="200"/>
      </w:pPr>
      <w:r>
        <w:rPr>
          <w:rFonts w:ascii="Arial" w:cs="Arial" w:eastAsia="Arial" w:hAnsi="Arial"/>
          <w:b/>
          <w:bCs/>
          <w:color w:val="C0392B"/>
          <w:sz w:val="20"/>
          <w:szCs w:val="20"/>
        </w:rPr>
        <w:t xml:space="preserve">Important : </w:t>
      </w:r>
      <w:r>
        <w:rPr>
          <w:rFonts w:ascii="Arial" w:cs="Arial" w:eastAsia="Arial" w:hAnsi="Arial"/>
          <w:color w:val="2D3436"/>
          <w:sz w:val="20"/>
          <w:szCs w:val="20"/>
        </w:rPr>
        <w:t xml:space="preserve">LexiBel répond nativement à chacune de ces exigences : Human-in-the-Loop, citations obligatoires, Privilege Guard, Zero Retention, cloud UE.</w:t>
      </w:r>
    </w:p>
    <w:p>
      <w:pPr>
        <w:pStyle w:val="Heading2"/>
      </w:pPr>
      <w:r>
        <w:t xml:space="preserve">5.3 Facturation électronique B2B (obligation 01/01/2026)</w:t>
      </w:r>
    </w:p>
    <w:p>
      <w:pPr>
        <w:spacing w:after="140" w:line="276"/>
        <w:jc w:val="both"/>
      </w:pPr>
      <w:r>
        <w:t xml:space="preserve">La Belgique impose la facturation électronique structurée B2B depuis le 1er janvier 2026. Un PDF envoyé par email ne suffit plus. Format requis : UBL 2.1, réseau Peppol BIS Billing 3.0, envoi via Access Point certifié. LexiBel intègre Peppol nativement dès le MVP.</w:t>
      </w:r>
    </w:p>
    <w:p>
      <w:pPr>
        <w:pStyle w:val="Heading2"/>
      </w:pPr>
      <w:r>
        <w:t xml:space="preserve">5.4 RGPD, DORA, NIS2, AI Act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6"/>
      </w:tblGrid>
      <w:tr>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Réglementation</w:t>
            </w:r>
          </w:p>
        </w:tc>
        <w:tc>
          <w:tcPr>
            <w:tcW w:type="dxa" w:w="2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 LexiBel</w:t>
            </w:r>
          </w:p>
        </w:tc>
        <w:tc>
          <w:tcPr>
            <w:tcW w:type="dxa" w:w="4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Mesures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RGPD (UE 2016/679)</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Traitement données personnelles</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Accès/rectification/effacement, DPIA, DPO, durée conservation paramétrable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DORA (UE 2022/2554)</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Résilience opérationnelle numérique</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Tests pénétration, plan continuité, monitoring incidents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NIS2 (UE 2022/2555)</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Sécurité réseaux et SI</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Gestion risques cyber, notification incidents, supply chain security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AI Act (UE 2024/1689)</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Transparence et contrôle IA</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Documentation modèles, controle humain, audit logs IA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eIDAS (UE 910/2014)</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Signature électronique</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Roadmap signature qualifiée via eID belge</w:t>
            </w:r>
          </w:p>
        </w:tc>
      </w:tr>
    </w:tbl>
    <w:p>
      <w:r>
        <w:br w:type="page"/>
      </w:r>
    </w:p>
    <w:p>
      <w:pPr>
        <w:pStyle w:val="Heading1"/>
      </w:pPr>
      <w:r>
        <w:t xml:space="preserve">6. Feuille de Route (18 mois)</w:t>
      </w:r>
    </w:p>
    <w:p>
      <w:pPr>
        <w:pStyle w:val="Heading2"/>
      </w:pPr>
      <w:r>
        <w:t xml:space="preserve">6.1 Phase 1 : Le Socle Forteresse (Mois 0–6)</w:t>
      </w:r>
    </w:p>
    <w:p>
      <w:pPr>
        <w:spacing w:after="140" w:line="276"/>
        <w:jc w:val="both"/>
      </w:pPr>
      <w:r>
        <w:rPr>
          <w:b/>
          <w:bCs/>
        </w:rPr>
        <w:t xml:space="preserve">Objectif : </w:t>
      </w:r>
      <w:r>
        <w:t xml:space="preserve">MVP fonctionnel remplaçant un logiciel comptable basique pour 2 cabinets pilotes.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800"/>
        <w:gridCol w:w="2906"/>
      </w:tblGrid>
      <w:tr>
        <w:tc>
          <w:tcPr>
            <w:tcW w:type="dxa" w:w="1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Période</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Livrable</w:t>
            </w:r>
          </w:p>
        </w:tc>
        <w:tc>
          <w:tcPr>
            <w:tcW w:type="dxa" w:w="3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technique</w:t>
            </w:r>
          </w:p>
        </w:tc>
        <w:tc>
          <w:tcPr>
            <w:tcW w:type="dxa" w:w="2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 d’acceptation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M1–M2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Architecture + Admin</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K8s, PostgreSQL RLS, RBAC 7 rôles, provisioning tenant, CI/CD GitHub Actions</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Isolation prouvée (tests cross-tenant), déploiement &lt; 10 min</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M3–M4</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Dossiers + DPA + Contacts</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CRUD case/contact, timeline événementielle, GED, stubs DPA (Deposit/JBox), conflict check BCE</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Timeline fonctionnelle, DPA stub opérationnel, conflict check actif</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M5–M6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Facturation Peppol</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Timesheet, valorisation (taux/forfait), factures UBL 2.1, compte tiers rubriqué, audit logs</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Facture Peppol validée, PenTest passé, 2 pilotes opérationnels</w:t>
            </w:r>
          </w:p>
        </w:tc>
      </w:tr>
    </w:tbl>
    <w:p>
      <w:pPr>
        <w:pBdr>
          <w:left w:val="single" w:color="F39C12" w:sz="12" w:space="8"/>
        </w:pBdr>
        <w:spacing w:after="160" w:line="276"/>
        <w:ind w:left="200"/>
      </w:pPr>
      <w:r>
        <w:rPr>
          <w:rFonts w:ascii="Arial" w:cs="Arial" w:eastAsia="Arial" w:hAnsi="Arial"/>
          <w:b/>
          <w:bCs/>
          <w:color w:val="E67E22"/>
          <w:sz w:val="20"/>
          <w:szCs w:val="20"/>
        </w:rPr>
        <w:t xml:space="preserve">Note : </w:t>
      </w:r>
      <w:r>
        <w:rPr>
          <w:rFonts w:ascii="Arial" w:cs="Arial" w:eastAsia="Arial" w:hAnsi="Arial"/>
          <w:color w:val="7F8C8D"/>
          <w:sz w:val="20"/>
          <w:szCs w:val="20"/>
        </w:rPr>
        <w:t xml:space="preserve">Modèles IA : aucun ML déployé. Heuristiques pour matching. Collecte signaux d’apprentissage dès J1.</w:t>
      </w:r>
    </w:p>
    <w:p>
      <w:pPr>
        <w:pStyle w:val="Heading2"/>
      </w:pPr>
      <w:r>
        <w:t xml:space="preserve">6.2 Phase 2 : Le Cerveau (Mois 6–12)</w:t>
      </w:r>
    </w:p>
    <w:p>
      <w:pPr>
        <w:spacing w:after="140" w:line="276"/>
        <w:jc w:val="both"/>
      </w:pPr>
      <w:r>
        <w:rPr>
          <w:b/>
          <w:bCs/>
        </w:rPr>
        <w:t xml:space="preserve">Objectif : </w:t>
      </w:r>
      <w:r>
        <w:t xml:space="preserve">activer les intégrations voix/téléphonie, le RAG juridique belge, et le Migration Center.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800"/>
        <w:gridCol w:w="2906"/>
      </w:tblGrid>
      <w:tr>
        <w:tc>
          <w:tcPr>
            <w:tcW w:type="dxa" w:w="1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Période</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Livrable</w:t>
            </w:r>
          </w:p>
        </w:tc>
        <w:tc>
          <w:tcPr>
            <w:tcW w:type="dxa" w:w="3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technique</w:t>
            </w:r>
          </w:p>
        </w:tc>
        <w:tc>
          <w:tcPr>
            <w:tcW w:type="dxa" w:w="2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 d’acceptation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M7–M8</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Plaud.ai + Ringover</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Webhooks sécurisés (HMAC), Inbox validation, matching multi-signal, TimeEntry auto</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99% events idempotents, Top-3 suggestions, auto-attach si confiance &gt; seuil</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M9–M10</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Legal RAG belge</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Ingestion droit belge (Juportal/Juridat/Moniteur), Qdrant, citations forcées</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Recherche sourcée, No Source No Claim, citation coverage &gt; 95%</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M11–M12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Migration Center + Outlook</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Import Forlex (CSV/ZIP), DPA JBox, Microsoft Graph, classement email prédictif</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 migrations réussies, zéro perte vérifiée, email filing fonctionnel</w:t>
            </w:r>
          </w:p>
        </w:tc>
      </w:tr>
    </w:tbl>
    <w:p>
      <w:pPr>
        <w:pBdr>
          <w:left w:val="single" w:color="F39C12" w:sz="12" w:space="8"/>
        </w:pBdr>
        <w:spacing w:after="160" w:line="276"/>
        <w:ind w:left="200"/>
      </w:pPr>
      <w:r>
        <w:rPr>
          <w:rFonts w:ascii="Arial" w:cs="Arial" w:eastAsia="Arial" w:hAnsi="Arial"/>
          <w:b/>
          <w:bCs/>
          <w:color w:val="E67E22"/>
          <w:sz w:val="20"/>
          <w:szCs w:val="20"/>
        </w:rPr>
        <w:t xml:space="preserve">Note : </w:t>
      </w:r>
      <w:r>
        <w:rPr>
          <w:rFonts w:ascii="Arial" w:cs="Arial" w:eastAsia="Arial" w:hAnsi="Arial"/>
          <w:color w:val="7F8C8D"/>
          <w:sz w:val="20"/>
          <w:szCs w:val="20"/>
        </w:rPr>
        <w:t xml:space="preserve">Modèles ML déployés : Matter Linkage Ranker (XGBoost), Email Triage Classifier, Deadline Extractor.</w:t>
      </w:r>
    </w:p>
    <w:p>
      <w:pPr>
        <w:pStyle w:val="Heading2"/>
      </w:pPr>
      <w:r>
        <w:t xml:space="preserve">6.3 Phase 3 : Personnalisation et Intelligence Avancée (Mois 12–18)</w:t>
      </w:r>
    </w:p>
    <w:p>
      <w:pPr>
        <w:spacing w:after="140" w:line="276"/>
        <w:jc w:val="both"/>
      </w:pPr>
      <w:r>
        <w:rPr>
          <w:b/>
          <w:bCs/>
        </w:rPr>
        <w:t xml:space="preserve">Objectif : </w:t>
      </w:r>
      <w:r>
        <w:t xml:space="preserve">déployer GraphRAG complet, Multi-LoRA, agents autonomes, lancement commercial.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800"/>
        <w:gridCol w:w="2906"/>
      </w:tblGrid>
      <w:tr>
        <w:tc>
          <w:tcPr>
            <w:tcW w:type="dxa" w:w="1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Période</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Livrable</w:t>
            </w:r>
          </w:p>
        </w:tc>
        <w:tc>
          <w:tcPr>
            <w:tcW w:type="dxa" w:w="3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 technique</w:t>
            </w:r>
          </w:p>
        </w:tc>
        <w:tc>
          <w:tcPr>
            <w:tcW w:type="dxa" w:w="2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 d’acceptation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M13–M14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GraphRAG + Knowledge Graph</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Neo4j opérationnel, pipeline extraction entités/relations, multi-hop reasoning</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Requêtes multi-sauts fonctionnelles, graphe &gt; 1000 nœuds/dossier test</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M15–M16</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Multi-LoRA + Agents</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vLLM + adaptateurs par cabinet, due diligence agents LangGraph</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Génération stylisée validée par 5 avocats, DD rapport en &lt; 12h</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M17–M18</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V1.0 + App Mobile</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RLHF, radar émotionnel, BI avancée, app native iOS/Android</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20+ cabinets, NPS &gt; 45, adoption IA &gt; 60%</w:t>
            </w:r>
          </w:p>
        </w:tc>
      </w:tr>
    </w:tbl>
    <w:p>
      <w:r>
        <w:br w:type="page"/>
      </w:r>
    </w:p>
    <w:p>
      <w:pPr>
        <w:pStyle w:val="Heading1"/>
      </w:pPr>
      <w:r>
        <w:t xml:space="preserve">7. Matrice des Risques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706"/>
      </w:tblGrid>
      <w:tr>
        <w:tc>
          <w:tcPr>
            <w:tcW w:type="dxa" w:w="2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Risque</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Probabilité</w:t>
            </w:r>
          </w:p>
        </w:tc>
        <w:tc>
          <w:tcPr>
            <w:tcW w:type="dxa" w:w="1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4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Fuite de données cross-tenant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Faible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Critique</w:t>
            </w:r>
          </w:p>
        </w:tc>
        <w:tc>
          <w:tcPr>
            <w:tcW w:type="dxa" w:w="4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RLS PostgreSQL + tests automatisés + PenTest trimestriel</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Hallucination IA dans contexte juridique</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Moyenne</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Critique</w:t>
            </w:r>
          </w:p>
        </w:tc>
        <w:tc>
          <w:tcPr>
            <w:tcW w:type="dxa" w:w="4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 Source No Claim + Privilege Guard + Human-in-the-Loop</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Adoption lente (résistance au changement)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Moyenne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Fort</w:t>
            </w:r>
          </w:p>
        </w:tc>
        <w:tc>
          <w:tcPr>
            <w:tcW w:type="dxa" w:w="4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Migration zéro perte + formation + early adopter pricing</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Retard intégration DPA (dépendance plateforme)</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Moyenne</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Fort</w:t>
            </w:r>
          </w:p>
        </w:tc>
        <w:tc>
          <w:tcPr>
            <w:tcW w:type="dxa" w:w="4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Stubs + import PDF fallback + dialogue Avocats.be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Réglementation IA restrictive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Faible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Moyen</w:t>
            </w:r>
          </w:p>
        </w:tc>
        <w:tc>
          <w:tcPr>
            <w:tcW w:type="dxa" w:w="4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Architecture « compliance by design » + veille juridique continue</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Concurrence Forlex réagit avec IA</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Moyenne</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Moyen</w:t>
            </w:r>
          </w:p>
        </w:tc>
        <w:tc>
          <w:tcPr>
            <w:tcW w:type="dxa" w:w="4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Avance technologique (GraphRAG/LoRA) + vitesse d’exécution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Coût GPU / infra IA</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Moyenne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Moyen</w:t>
            </w:r>
          </w:p>
        </w:tc>
        <w:tc>
          <w:tcPr>
            <w:tcW w:type="dxa" w:w="4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vLLM partagé, quantization, caching sémantique, scaling horizontal</w:t>
            </w:r>
          </w:p>
        </w:tc>
      </w:tr>
    </w:tbl>
    <w:p>
      <w:r>
        <w:br w:type="page"/>
      </w:r>
    </w:p>
    <w:p>
      <w:pPr>
        <w:pStyle w:val="Heading1"/>
      </w:pPr>
      <w:r>
        <w:t xml:space="preserve">8. Équipe et Gouvernance</w:t>
      </w:r>
    </w:p>
    <w:p>
      <w:pPr>
        <w:pStyle w:val="Heading2"/>
      </w:pPr>
      <w:r>
        <w:t xml:space="preserve">8.1 Équipe cible (Phase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06"/>
      </w:tblGrid>
      <w:tr>
        <w:tc>
          <w:tcPr>
            <w:tcW w:type="dxa" w:w="2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Rôle</w:t>
            </w:r>
          </w:p>
        </w:tc>
        <w:tc>
          <w:tcPr>
            <w:tcW w:type="dxa" w:w="4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w:t>
            </w:r>
          </w:p>
        </w:tc>
        <w:tc>
          <w:tcPr>
            <w:tcW w:type="dxa" w:w="2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CTO / Lead Architect</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Senior full-stack, expérience multi-tenant SaaS + IA</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Dès M0</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Backend Engineer (x2)</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Python/FastAPI, PostgreSQL, Celery, expérience RLS</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Dès M0</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Frontend Engineer (x2)</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Next.js/React, TypeScript, Shadcn UI</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Dès M1</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ML Engineer</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RAG, LangChain/LangGraph, fine-tuning, NER</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Dès M3</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DevOps / SRE</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Kubernetes, CI/CD, monitoring, sécurité</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Dès M0</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Product Owner / Domain Expert</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Expérience cabinet d’avocats belge, déontologie</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Dès M0</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QA Engineer</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Tests automatisés, sécurité, tests cross-tenant</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Dès M2</w:t>
            </w:r>
          </w:p>
        </w:tc>
      </w:tr>
    </w:tbl>
    <w:p>
      <w:pPr>
        <w:pStyle w:val="Heading2"/>
      </w:pPr>
      <w:r>
        <w:t xml:space="preserve">8.2 Gouvernance</w:t>
      </w:r>
    </w:p>
    <w:p>
      <w:pPr>
        <w:pStyle w:val="ListParagraph"/>
        <w:numPr>
          <w:ilvl w:val="0"/>
          <w:numId w:val="9"/>
        </w:numPr>
        <w:spacing w:after="60" w:line="276"/>
      </w:pPr>
      <w:r>
        <w:rPr>
          <w:b/>
          <w:bCs/>
        </w:rPr>
        <w:t xml:space="preserve">Comité produit : </w:t>
      </w:r>
      <w:r>
        <w:t xml:space="preserve">hebdomadaire, arbitrages fonctionnels et priorisation.</w:t>
      </w:r>
    </w:p>
    <w:p>
      <w:pPr>
        <w:pStyle w:val="ListParagraph"/>
        <w:numPr>
          <w:ilvl w:val="0"/>
          <w:numId w:val="9"/>
        </w:numPr>
        <w:spacing w:after="60" w:line="276"/>
      </w:pPr>
      <w:r>
        <w:rPr>
          <w:b/>
          <w:bCs/>
        </w:rPr>
        <w:t xml:space="preserve">Comité sécurité : </w:t>
      </w:r>
      <w:r>
        <w:t xml:space="preserve">mensuel, revue incidents, PenTest, conformité.</w:t>
      </w:r>
    </w:p>
    <w:p>
      <w:pPr>
        <w:pStyle w:val="ListParagraph"/>
        <w:numPr>
          <w:ilvl w:val="0"/>
          <w:numId w:val="9"/>
        </w:numPr>
        <w:spacing w:after="60" w:line="276"/>
      </w:pPr>
      <w:r>
        <w:rPr>
          <w:b/>
          <w:bCs/>
        </w:rPr>
        <w:t xml:space="preserve">Comité pilotes : </w:t>
      </w:r>
      <w:r>
        <w:t xml:space="preserve">bimensuel avec cabinets pilotes, feedback direct.</w:t>
      </w:r>
    </w:p>
    <w:p>
      <w:pPr>
        <w:pStyle w:val="ListParagraph"/>
        <w:numPr>
          <w:ilvl w:val="0"/>
          <w:numId w:val="9"/>
        </w:numPr>
        <w:spacing w:after="60" w:line="276"/>
      </w:pPr>
      <w:r>
        <w:rPr>
          <w:b/>
          <w:bCs/>
        </w:rPr>
        <w:t xml:space="preserve">Sprints : </w:t>
      </w:r>
      <w:r>
        <w:t xml:space="preserve">2 semaines, demo live en fin de sprint.</w:t>
      </w:r>
    </w:p>
    <w:p>
      <w:pPr>
        <w:spacing w:after="300"/>
      </w:pPr>
    </w:p>
    <w:p>
      <w:pPr>
        <w:pBdr>
          <w:top w:val="single" w:color="1B365D" w:sz="4" w:space="1"/>
        </w:pBdr>
        <w:spacing w:before="300" w:after="100"/>
        <w:jc w:val="center"/>
      </w:pPr>
    </w:p>
    <w:p>
      <w:pPr>
        <w:jc w:val="center"/>
      </w:pPr>
      <w:r>
        <w:rPr>
          <w:rFonts w:ascii="Arial" w:cs="Arial" w:eastAsia="Arial" w:hAnsi="Arial"/>
          <w:i/>
          <w:iCs/>
          <w:color w:val="999999"/>
          <w:sz w:val="18"/>
          <w:szCs w:val="18"/>
        </w:rPr>
        <w:t xml:space="preserve">FIN DU DOCUMENT — LXB-BIZ-001</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999999"/>
        <w:sz w:val="16"/>
        <w:szCs w:val="16"/>
      </w:rPr>
      <w:t xml:space="preserve">LexiBel — Business Case &amp; Vision Stratégique</w:t>
    </w:r>
    <w:r>
      <w:rPr>
        <w:rFonts w:ascii="Arial" w:cs="Arial" w:eastAsia="Arial" w:hAnsi="Arial"/>
        <w:color w:val="999999"/>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3"/>
    <w:lvlOverride w:ilvl="0">
      <w:startOverride w:val="1"/>
    </w:lvlOverride>
  </w:num>
  <w:num w:numId="8">
    <w:abstractNumId w:val="12"/>
    <w:lvlOverride w:ilvl="0">
      <w:startOverride w:val="1"/>
    </w:lvlOverride>
  </w:num>
  <w:num w:numId="9">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3A7CA5"/>
      <w:sz w:val="26"/>
      <w:szCs w:val="26"/>
    </w:rPr>
  </w:style>
  <w:style w:type="paragraph" w:styleId="Heading4">
    <w:name w:val="Heading 4"/>
    <w:basedOn w:val="Normal"/>
    <w:next w:val="Normal"/>
    <w:qFormat/>
    <w:pPr>
      <w:spacing w:before="200" w:after="100"/>
      <w:outlineLvl w:val="3"/>
    </w:pPr>
    <w:rPr>
      <w:rFonts w:ascii="Arial" w:cs="Arial" w:eastAsia="Arial" w:hAnsi="Arial"/>
      <w:b/>
      <w:bCs/>
      <w:i/>
      <w:iCs/>
      <w:color w:val="4A90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2026-02-15T11:39:25.314Z</dcterms:created>
  <dcterms:modified xsi:type="dcterms:W3CDTF">2026-02-15T11:39:25.315Z</dcterms:modified>
</cp:coreProperties>
</file>

<file path=docProps/custom.xml><?xml version="1.0" encoding="utf-8"?>
<Properties xmlns="http://schemas.openxmlformats.org/officeDocument/2006/custom-properties" xmlns:vt="http://schemas.openxmlformats.org/officeDocument/2006/docPropsVTypes"/>
</file>