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65D"/>
          <w:sz w:val="56"/>
          <w:szCs w:val="56"/>
        </w:rPr>
        <w:t xml:space="preserve">LEXIBEL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L’Écosystème Juridique Intelligent pour le Barreau Belge</w:t>
      </w:r>
    </w:p>
    <w:p>
      <w:pPr>
        <w:spacing w:after="300"/>
      </w:pPr>
    </w:p>
    <w:p>
      <w:pPr>
        <w:pBdr>
          <w:bottom w:val="single" w:color="1B365D" w:sz="6" w:space="1"/>
        </w:pBdr>
        <w:spacing w:after="400"/>
        <w:jc w:val="center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3436"/>
          <w:sz w:val="40"/>
          <w:szCs w:val="40"/>
        </w:rPr>
        <w:t xml:space="preserve">Architecture &amp; Infrastructure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Guide technique pour l’architecte solution et le lead technique</w:t>
      </w:r>
    </w:p>
    <w:p>
      <w:pPr>
        <w:spacing w:after="6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document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LXB-ARCH-002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Février 2026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Confidentiel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LexiBel (Legal Cortex)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Prêt pour développement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Principes Architecturaux Non Négociables</w:t>
      </w:r>
    </w:p>
    <w:p>
      <w:pPr>
        <w:spacing w:after="140" w:line="276"/>
        <w:jc w:val="both"/>
      </w:pPr>
      <w:r>
        <w:t xml:space="preserve">L’architecture LexiBel repose sur sept principes qui ne souffrent aucune exception. Chaque décision technique doit être validée contre cette liste.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800"/>
        <w:gridCol w:w="3506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 conformité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professionnel by design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RLS PostgreSQL, Qdrant namespaces, S3 IAM, chiffrement AES-256, Privilege Guard BERT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PenTest cross-tenant trimestriel, 0 fuite tolérée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Event-Sourced Timeline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InteractionEvent, EvidenceLink (hash SHA-256), immutabilité garantie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Toute suppression est soft-delete, audit log couvre 100% des actions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Source, No Claim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Gateway enforce citation_coverage &gt; seuil configurable, refus si évidences insuffisantes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automatisé : 0% réponses sans citation en production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Human-in-the-Loop obligatoire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InboxItem avec état DRAFT/VALIDATED/REFUSED, auto-attach seulement si confidence &gt; threshold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 événement publié sans trace de validation (humaine ou auto-justifiée)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strict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Pool (RLS) défaut, silo option grands cabinets, BYOK par tenant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d’isolation automatisés dans CI/CD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Idempotence partout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key sur chaque webhook/import, déduplication avant traitement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Replay 2x du même payload = 0 doublon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Peppol readiness natif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UBL 2.1 / BIS Billing 3.0 dès le MVP, Access Point certifié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schema Peppol automatisée dans CI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 Système en 6 Couches</w:t>
      </w:r>
    </w:p>
    <w:p>
      <w:pPr>
        <w:pStyle w:val="Heading2"/>
      </w:pPr>
      <w:r>
        <w:t xml:space="preserve">2.1 Vue d’ensemble</w:t>
      </w:r>
    </w:p>
    <w:p>
      <w:pPr>
        <w:spacing w:after="140" w:line="276"/>
        <w:jc w:val="both"/>
      </w:pPr>
      <w:r>
        <w:t xml:space="preserve">L’architecture est organisée en six couches modulaires avec séparation stricte des responsabilités. Chaque couche communique exclusivement via des interfaces définies (API REST, Event Bus, gRPC interne).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50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Frontend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SPA, PWA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Router), Shadcn UI, TailwindCSS, Zustand, TipTap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UI/UX, validation client, rendu, i18n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 Backend API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REST, Middleware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3.11), SQLAlchemy 2.0 async, Pydantic v2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Logique métier, RBAC, multi-tenant routing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 Workers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Jobs asynchrones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Redis, Flower monitoring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Ingestion webhooks, indexation, migration, Peppol, pipelines IA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L4 Data Layer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(RLS), Qdrant, Neo4j, MinIO/S3, Redis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Persistance relationnelle, vectorielle, graphe, objets, cache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L5 LLM Gateway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de politique IA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service, vLLM, Azure OpenAI (fallback)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Pseudonymisation, anti-injection, quotas, citations, logs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L6 Infrastructure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Kubernetes, Scaleway/OVHcloud, GitHub Actions, Grafana/Prometheus/Loki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Déploiement, scaling, monitoring, alerting</w:t>
            </w:r>
          </w:p>
        </w:tc>
      </w:tr>
    </w:tbl>
    <w:p>
      <w:pPr>
        <w:pStyle w:val="Heading2"/>
      </w:pPr>
      <w:r>
        <w:t xml:space="preserve">2.2 Diagramme de flux principal</w:t>
      </w:r>
    </w:p>
    <w:p>
      <w:pPr>
        <w:spacing w:after="140" w:line="276"/>
        <w:jc w:val="both"/>
      </w:pPr>
      <w:r>
        <w:t xml:space="preserve">Le flux de données suit un chemin immuable de la source externe jusqu’à l’action utilisateur :</w:t>
      </w:r>
    </w:p>
    <w:tbl>
      <w:tblPr>
        <w:tblW w:type="dxa" w:w="7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200"/>
        <w:gridCol w:w="2506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 produite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Capture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Sources (Plaud/Ringover/Outlook/DPA)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Webhooks ou API Pull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payload + idempotency_key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Ingestion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Workers (Celery)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signature, déduplication, stockage brut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InboxItem (DRAFT)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Enrichissement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Workers (Celery)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NER, matching multi-signal, Top-3 suggestions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MatchSuggestion[] + scores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Validation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Inbox + RBAC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Humain valide rattachement dossier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InboxItem (VALIDATED) + case_id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Publication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Store (PostgreSQL)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Écriture immutable InteractionEvent + EvidenceLink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+ hash SHA-256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Indexation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Workers (Celery)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Chunking, embeddings (Qdrant), graph update (Neo4j), OCR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Chunks, vectors, graph nodes/edges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Intelligence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Gateway + Case Brain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Recherche, génération sourcée, drafts, suggestions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Responses + citations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Action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+ Workflows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Timesheet, facturation, envoi, export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TimeEntry, Invoice, PeppolXML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Stack Technique Détaillée</w:t>
      </w:r>
    </w:p>
    <w:p>
      <w:pPr>
        <w:pStyle w:val="Heading2"/>
      </w:pPr>
      <w:r>
        <w:t xml:space="preserve">3.1 Frontend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450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14.x (App Router)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SSR/SSG, React Server Components, streaming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Shadcn UI + Radix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Composants accessibles, personnalisables, headless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Utility-first, design system cohérent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Léger, compatible SSR, pas de boilerplate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type-safe client + serveur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Rich Text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TipTap (ProseMirror)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Édition documents juridiques, merge fields, collaboration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Flow + D3.js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Visualisation Knowledge Graph et timeline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i18n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next-intl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FR/NL/EN/DE natif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+ fetch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Cache, invalidation, optimistic updates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Client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next-auth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OIDC/SAML, session JWT, MFA</w:t>
            </w:r>
          </w:p>
        </w:tc>
      </w:tr>
    </w:tbl>
    <w:p>
      <w:pPr>
        <w:pStyle w:val="Heading2"/>
      </w:pPr>
      <w:r>
        <w:t xml:space="preserve">3.2 Backend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450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0.110+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 natif, OpenAPI auto, écosystème ML Python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2.0 Async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2.0+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RLS, migrations Alembic, type hints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Modèles partagés API/DB, sérialisation rapide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5.3+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Tâches longues, retry exponential, monitoring Flower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python-jose + passlib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JWT/JWE, hashing bcrypt/argon2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+ httpx + factory-boy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async, fixtures, factories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Docs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 3.1 (auto FastAPI)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auto, Swagger UI intégré</w:t>
            </w:r>
          </w:p>
        </w:tc>
      </w:tr>
    </w:tbl>
    <w:p>
      <w:pPr>
        <w:pStyle w:val="Heading2"/>
      </w:pPr>
      <w:r>
        <w:t xml:space="preserve">3.3 Data Layer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3506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multi-tenant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DB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Données relationnelles, RLS, pgcrypto, jsonb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RLS policies sur tenant_id, tests CI automatisés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Qdrant (self-hosted)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Embeddings, recherche hybride (dense + sparse)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Payload filter strict tenant_id, namespaces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 DB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Neo4j Community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 par dossier (entités + relations)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Labels tenant_id ou instances séparées (silo)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 / S3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Documents, audio, PJ, exports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 /tenant_id/case_id/, IAM par préfixe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Sessions, cache, rate limiting, Celery broker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prefix tenant_id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FTS + Qdrant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Recherche full-text + sémantique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RLS + payload filter</w:t>
            </w:r>
          </w:p>
        </w:tc>
      </w:tr>
    </w:tbl>
    <w:p>
      <w:pPr>
        <w:pStyle w:val="Heading2"/>
      </w:pPr>
      <w:r>
        <w:t xml:space="preserve">3.4 IA / ML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Serving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vLLM (self-hosted)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Inférence Multi-LoRA, modèle fondation Mistral Large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Fallback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(Zero Retention)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 haute disponibilité, contrat non-training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Workflows multi-agents, state machines, HITL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BGE-M3 / multilingual-e5-large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multilingues FR/NL/EN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SpaCy (fine-tuned droit belge)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Extraction entités nommées juridiques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Privilege Guard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BERT fine-tuned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documents privilégiés + PII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classique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 / LightGBM / scikit-learn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Matter Linkage Ranker, Billing Anomaly Detector</w:t>
            </w:r>
          </w:p>
        </w:tc>
      </w:tr>
    </w:tbl>
    <w:p>
      <w:pPr>
        <w:pStyle w:val="Heading2"/>
      </w:pPr>
      <w:r>
        <w:t xml:space="preserve">3.5 Infrastructure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70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(managed)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Scaleway Kapsule ou OVH Managed K8s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Build, test, lint, security scan, deploy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Container Registry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Images signées, scan vulnérabilités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Grafana + Prometheus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custom, alerting Slack/PagerDuty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Loki + Promtail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Logs structurés JSON, rétention configurable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+ Tempo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Traces distribuées, laténce par service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HashiCorp Vault / K8s Secrets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Rotation clés, injection env, audit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 / CDN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SSL, DDoS protection, edge caching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Architecture Multi-Tenant Détaillée</w:t>
      </w:r>
    </w:p>
    <w:p>
      <w:pPr>
        <w:pStyle w:val="Heading2"/>
      </w:pPr>
      <w:r>
        <w:t xml:space="preserve">4.1 Modèle d’isolation : Pool vs. Silo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9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 (défaut, PME)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Silo (option, grands cabinets)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PostgreSQL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Partagée + RLS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Dédiée par tenant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Qdrant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partagée, filter payload tenant_id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dédiée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Neo4j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Labels tenant + subgraph isolé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Instance dédiée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S3/MinIO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Bucket partagé, préfixe /tenant_id/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Bucket dédié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prefix tenant_id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Instance dédiée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Partagé, routing par tenant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Partagé (pas de différence)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Chiffrement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 clé partagée + pgcrypto PII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BYOK clé dédiée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Coût relatif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1x (mutualisation)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3–5x (isolation maximale)</w:t>
            </w:r>
          </w:p>
        </w:tc>
      </w:tr>
    </w:tbl>
    <w:p>
      <w:pPr>
        <w:pStyle w:val="Heading2"/>
      </w:pPr>
      <w:r>
        <w:t xml:space="preserve">4.2 Row-Level Security (PostgreSQL)</w:t>
      </w:r>
    </w:p>
    <w:p>
      <w:pPr>
        <w:spacing w:after="140" w:line="276"/>
        <w:jc w:val="both"/>
      </w:pPr>
      <w:r>
        <w:t xml:space="preserve">Chaque table contenant des données tenant porte une colonne tenant_id (UUID, NOT NULL, FK). Les policies RLS sont activées sur chaque table 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EE2E6" w:sz="1"/>
              <w:left w:val="single" w:color="6C3483" w:sz="4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-- Activation RLS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ALTER TABLE cases ENABLE ROW LEVEL SECURITY;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ALTER TABLE cases FORCE ROW LEVEL SECURITY;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-- Policy : un utilisateur ne voit que les données de son tenant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CREATE POLICY tenant_isolation ON cases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USING (tenant_id = current_setting('app.current_tenant_id')::uuid);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-- Le middleware FastAPI injecte le tenant_id avant chaque requête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-- SET LOCAL app.current_tenant_id = '&lt;tenant_uuid&gt;';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-- SET LOCAL est transactionnel : nettoyé automatiquement à la fin du TX</w:t>
            </w:r>
          </w:p>
        </w:tc>
      </w:tr>
    </w:tbl>
    <w:p>
      <w:pPr>
        <w:pBdr>
          <w:left w:val="single" w:color="E74C3C" w:sz="12" w:space="8"/>
        </w:pBdr>
        <w:spacing w:after="160" w:line="276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Important 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Le super-admin n’utilise JAMAIS les policies RLS. Il opère via un rôle PostgreSQL distinct sans RLS pour les opérations cross-tenant (monitoring, facturation SaaS, migration).</w:t>
      </w:r>
    </w:p>
    <w:p>
      <w:pPr>
        <w:pStyle w:val="Heading2"/>
      </w:pPr>
      <w:r>
        <w:t xml:space="preserve">4.3 Middleware Multi-Tenant (FastAPI)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EE2E6" w:sz="1"/>
              <w:left w:val="single" w:color="6C3483" w:sz="4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# middleware/tenant.py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class TenantMiddleware: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async def __call__(self, request: Request, call_next):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  # 1. Extraire tenant_id du JWT (claim 'tid')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  token = request.headers.get('Authorization', '').replace('Bearer ', '')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  payload = verify_jwt(token)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  tenant_id = payload.get('tid')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  # 2. Injecter dans le contexte de requête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  request.state.tenant_id = tenant_id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  # 3. Configurer RLS pour cette transaction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  async with get_db_session() as session: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      await session.execute(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          text("SET LOCAL app.current_tenant_id = :tid"),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          {"tid": str(tenant_id)}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  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      request.state.db = session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      response = await call_next(request)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  return response</w:t>
            </w:r>
          </w:p>
        </w:tc>
      </w:tr>
    </w:tbl>
    <w:p>
      <w:pPr>
        <w:pStyle w:val="Heading2"/>
      </w:pPr>
      <w:r>
        <w:t xml:space="preserve">4.4 Chiffrement et BYOK</w:t>
      </w:r>
    </w:p>
    <w:p>
      <w:pPr>
        <w:spacing w:after="140" w:line="276"/>
        <w:jc w:val="both"/>
      </w:pPr>
      <w:r>
        <w:t xml:space="preserve">Trois niveaux de chiffrement 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Transit : </w:t>
      </w:r>
      <w:r>
        <w:t xml:space="preserve">TLS 1.3 pour toutes les communications (API, DB, inter-services).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Repos : </w:t>
      </w:r>
      <w:r>
        <w:t xml:space="preserve">AES-256 pour PostgreSQL (TDE ou disk encryption), S3 (SSE-S3), backups.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Champs PII : </w:t>
      </w:r>
      <w:r>
        <w:t xml:space="preserve">pgcrypto ou application-level encryption pour registre national, coordonnées bancaires. Clé tenant-specific.</w:t>
      </w:r>
    </w:p>
    <w:p>
      <w:pPr>
        <w:spacing w:after="100"/>
      </w:pPr>
    </w:p>
    <w:p>
      <w:pPr>
        <w:spacing w:after="140" w:line="276"/>
        <w:jc w:val="both"/>
      </w:pPr>
      <w:r>
        <w:rPr>
          <w:b/>
          <w:bCs/>
        </w:rPr>
        <w:t xml:space="preserve">BYOK (Bring Your Own Key) : </w:t>
      </w:r>
      <w:r>
        <w:t xml:space="preserve">chaque cabinet peut fournir sa Customer Master Key (CMK) via HSM cloud (AWS KMS, Azure Key Vault) ou on-premise. La CMK chiffre les Data Encryption Keys (DEK) qui chiffrent les données. Révocation CMK = crypto-shredding : toutes les données deviennent irréversiblement indéchiffrables.</w:t>
      </w:r>
    </w:p>
    <w:p>
      <w:r>
        <w:br w:type="page"/>
      </w:r>
    </w:p>
    <w:p>
      <w:pPr>
        <w:pStyle w:val="Heading1"/>
      </w:pPr>
      <w:r>
        <w:t xml:space="preserve">5. Modèle de Sécurité</w:t>
      </w:r>
    </w:p>
    <w:p>
      <w:pPr>
        <w:pStyle w:val="Heading2"/>
      </w:pPr>
      <w:r>
        <w:t xml:space="preserve">5.1 RBAC (Role-Based Access Control)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100"/>
        <w:gridCol w:w="1200"/>
        <w:gridCol w:w="1000"/>
        <w:gridCol w:w="140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Factures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Tous (resp./équipe)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Complète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Valide subordonnés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Émet + approuve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Cabinet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Toutes surfaces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Associate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Assignés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Restreinte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Soumet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Visualise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Dossiers assignés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Junior/Stagiaire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Assignés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Soumet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Recherche seule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Secrétaire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Assignés + création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Saisit pour autres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Brouillons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Recherche + drafts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Comptable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Financier seul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Complète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Complète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BI/Reporting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cabinet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Complète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Complète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Complète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Cabinet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IA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Super-admin SaaS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Tous tenants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Plateforme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Tous modèles</w:t>
            </w:r>
          </w:p>
        </w:tc>
      </w:tr>
    </w:tbl>
    <w:p>
      <w:pPr>
        <w:spacing w:after="140" w:line="276"/>
        <w:jc w:val="both"/>
      </w:pPr>
      <w:r>
        <w:rPr>
          <w:b/>
          <w:bCs/>
        </w:rPr>
        <w:t xml:space="preserve">Compléments RBAC : </w:t>
      </w:r>
      <w:r>
        <w:t xml:space="preserve">délégation (agir au nom d’un partner), chaînes de supervision hiérarchique, Chinese Walls pour isolation de dossiers en cas de conflit d’intérêts.</w:t>
      </w:r>
    </w:p>
    <w:p>
      <w:pPr>
        <w:pStyle w:val="Heading2"/>
      </w:pPr>
      <w:r>
        <w:t xml:space="preserve">5.2 Audit Logs (Append-Only)</w:t>
      </w:r>
    </w:p>
    <w:p>
      <w:pPr>
        <w:spacing w:after="140" w:line="276"/>
        <w:jc w:val="both"/>
      </w:pPr>
      <w:r>
        <w:t xml:space="preserve">Chaque action significative génère une entrée d’audit immuable 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5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 audités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capturées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Login, logout, MFA challenge, failed attempt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IP, user_agent, timestamp, result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Accès documents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Consultation, téléchargement, impression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document_id, user_id, action, timestamp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Actions dossier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Création, modification, Inbox validation, refus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case_id, user_id, action, before/after diff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IA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Chaque appel LLM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model_version, prompt_hash, sources[], redactions[], confidence, response_hash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Chaque réception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source, raw_payload_hash, signature_status, idempotency_key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Facturation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Création, validation, envoi Peppol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invoice_id, user_id, action, XML hash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données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Tout export/extraction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périmètre, timestamp, format</w:t>
            </w:r>
          </w:p>
        </w:tc>
      </w:tr>
    </w:tbl>
    <w:p>
      <w:pPr>
        <w:pStyle w:val="Heading2"/>
      </w:pPr>
      <w:r>
        <w:t xml:space="preserve">5.3 Sécurité IA (LLM Gateway)</w:t>
      </w:r>
    </w:p>
    <w:p>
      <w:pPr>
        <w:spacing w:after="140" w:line="276"/>
        <w:jc w:val="both"/>
      </w:pPr>
      <w:r>
        <w:t xml:space="preserve">Le LLM Gateway est un service Python autonome qui intercepte tous les appels aux LLM. Il applique une chaîne de transformations obligatoires 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PII Redaction : </w:t>
      </w:r>
      <w:r>
        <w:t xml:space="preserve">détection et remplacement des données personnelles par tokens avant envoi au LLM (noms, adresses, IBAN, registre national).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Anti-Prompt Injection : </w:t>
      </w:r>
      <w:r>
        <w:t xml:space="preserve">séparation stricte system/user/retrieved content, neutralisation d’instructions dans les documents ingrés, classificateur ML anti-injection.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Policy Engine : </w:t>
      </w:r>
      <w:r>
        <w:t xml:space="preserve">vérification allow/deny lists par tenant (providers autorisés, types de données), quotas par utilisateur/tenant.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Citation Enforcement : </w:t>
      </w:r>
      <w:r>
        <w:t xml:space="preserve">post-traitement vérifiant que chaque affirmation cite une source. Calcul du citation_coverage_score. Refus si &lt; seuil.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Full Logging : </w:t>
      </w:r>
      <w:r>
        <w:t xml:space="preserve">prompt hash, sources récupérées, redactions appliquées, model version, response hash, latence, user_id, confidence.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Zero Retention : </w:t>
      </w:r>
      <w:r>
        <w:t xml:space="preserve">contrats avec providers LLM (Mistral AI, Azure OpenAI) garantissant aucun entraînement sur données client. Contextes éphémères.</w:t>
      </w:r>
    </w:p>
    <w:p>
      <w:r>
        <w:br w:type="page"/>
      </w:r>
    </w:p>
    <w:p>
      <w:pPr>
        <w:pStyle w:val="Heading1"/>
      </w:pPr>
      <w:r>
        <w:t xml:space="preserve">6. Architecture IA / ML</w:t>
      </w:r>
    </w:p>
    <w:p>
      <w:pPr>
        <w:pStyle w:val="Heading2"/>
      </w:pPr>
      <w:r>
        <w:t xml:space="preserve">6.1 Legal GraphRAG</w:t>
      </w:r>
    </w:p>
    <w:p>
      <w:pPr>
        <w:pStyle w:val="Heading3"/>
      </w:pPr>
      <w:r>
        <w:t xml:space="preserve">Knowledge Graph par dossier (Neo4j)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70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nœud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Attributs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name, role, identifier (BCE/RN)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Parties, témoins, avocats, juges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name, bce_number, form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Sociétés (PP/PM), employeurs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code, article, version_date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Art. 1382 C. civ., art. 458 C. pénal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CaseLaw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reference, court, date, summary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Cass. 12/03/2024, C.A. Bruxelles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document_id, hash, type, page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Pièce 12, Avenant n°3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date, type, description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Audience 15/01, signature contrat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Deadline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date, type, source, status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Échéance appel 30 jours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MoneyAmount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amount, currency, context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Indemnité 50 000 €, provision 10 000 €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ContractClause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type, text_excerpt, risk_level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Non-concurrence, exclusivité, change of control</w:t>
            </w:r>
          </w:p>
        </w:tc>
      </w:tr>
    </w:tbl>
    <w:p>
      <w:pPr>
        <w:pStyle w:val="Heading3"/>
      </w:pPr>
      <w:r>
        <w:t xml:space="preserve">Types d’arêtes (relations)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50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CaseLaw / Evidence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Statute / CaseLaw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paragraph, context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CONTRADICTS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 / CaseLaw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 / CaseLaw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nature, confidence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strength, type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SIGNED_BY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 (contrat)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 / Company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date, capacity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MODIFIES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 (avenant)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 (contrat)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clauses_affected[]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SCHEDULED_FOR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Deadline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/ Case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source_document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INVOLVED_IN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 / Company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 / Event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role, period</w:t>
            </w:r>
          </w:p>
        </w:tc>
      </w:tr>
    </w:tbl>
    <w:p>
      <w:pPr>
        <w:pStyle w:val="Heading3"/>
      </w:pPr>
      <w:r>
        <w:t xml:space="preserve">Pipeline d’extraction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NER juridique : </w:t>
      </w:r>
      <w:r>
        <w:t xml:space="preserve">SpaCy fine-tuné sur corpus droit belge. Extraction entités (personnes, sociétés, articles, dates, montants).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Extraction relations : </w:t>
      </w:r>
      <w:r>
        <w:t xml:space="preserve">LLM structuré (output JSON) pour détecter relations entre entités extraites.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Confidence gating : </w:t>
      </w:r>
      <w:r>
        <w:t xml:space="preserve">seuil configurable (défaut 0.75). En dessous, noeud/arête créé en mode « draft » pour validation humaine.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Mise à jour incrémentale : </w:t>
      </w:r>
      <w:r>
        <w:t xml:space="preserve">chaque nouvel InteractionEvent déclenche le pipeline sur le contenu nouveau uniquement.</w:t>
      </w:r>
    </w:p>
    <w:p>
      <w:pPr>
        <w:pStyle w:val="Heading3"/>
      </w:pPr>
      <w:r>
        <w:t xml:space="preserve">Flux de requête GraphRAG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Recherche vectorielle : </w:t>
      </w:r>
      <w:r>
        <w:t xml:space="preserve">Top-K chunks pertinents dans Qdrant (namespace tenant + filtre case_id).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Expansion graphe : </w:t>
      </w:r>
      <w:r>
        <w:t xml:space="preserve">traversée Neo4j pour récupérer nœuds/arêtes voisins (profondeur configurable, défaut 2 sauts).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Re-ranking : </w:t>
      </w:r>
      <w:r>
        <w:t xml:space="preserve">cross-encoder pour trier les évidences par pertinence.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Génération citée : </w:t>
      </w:r>
      <w:r>
        <w:t xml:space="preserve">LLM génère avec citation par affirmation. Gateway enforce No Source No Claim.</w:t>
      </w:r>
    </w:p>
    <w:p>
      <w:pPr>
        <w:pStyle w:val="Heading2"/>
      </w:pPr>
      <w:r>
        <w:t xml:space="preserve">6.2 Multi-LoRA Architecture</w:t>
      </w:r>
    </w:p>
    <w:p>
      <w:pPr>
        <w:spacing w:after="140" w:line="276"/>
        <w:jc w:val="both"/>
      </w:pPr>
      <w:r>
        <w:t xml:space="preserve">Un modèle fondation unique (Mistral Large) sur infrastructure GPU partagée via vLLM. Pour chaque cabinet, un adaptateur LoRA (2–50 Mo) capturant le style, la structure et le vocabulaire du cabinet.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Modèle fondation</w:t>
            </w:r>
          </w:p>
        </w:tc>
        <w:tc>
          <w:tcPr>
            <w:tcW w:type="dxa" w:w="7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Mistral Large (ou équivalent), gelé, partagé entre tous les tenants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Adaptateurs LoRA</w:t>
            </w:r>
          </w:p>
        </w:tc>
        <w:tc>
          <w:tcPr>
            <w:tcW w:type="dxa" w:w="7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Entraînés sur les écrits passés du cabinet (conclusions, consultations, courriers)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Taille adaptateur</w:t>
            </w:r>
          </w:p>
        </w:tc>
        <w:tc>
          <w:tcPr>
            <w:tcW w:type="dxa" w:w="7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2–50 Mo par cabinet (rank 16–64)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Serving</w:t>
            </w:r>
          </w:p>
        </w:tc>
        <w:tc>
          <w:tcPr>
            <w:tcW w:type="dxa" w:w="7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vLLM avec chargement dynamique de l’adaptateur au moment de la requête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Isolation</w:t>
            </w:r>
          </w:p>
        </w:tc>
        <w:tc>
          <w:tcPr>
            <w:tcW w:type="dxa" w:w="7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Données d’entraînement strictement cloisonnées par tenant_id. Aucun accès croisé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Latence</w:t>
            </w:r>
          </w:p>
        </w:tc>
        <w:tc>
          <w:tcPr>
            <w:tcW w:type="dxa" w:w="7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50ms overhead vs. modèle de base (chargement hot cache)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Retraining</w:t>
            </w:r>
          </w:p>
        </w:tc>
        <w:tc>
          <w:tcPr>
            <w:tcW w:type="dxa" w:w="7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Incrémental, déclenché par accumulation de labels (corrections utilisateur)</w:t>
            </w:r>
          </w:p>
        </w:tc>
      </w:tr>
    </w:tbl>
    <w:p>
      <w:pPr>
        <w:pStyle w:val="Heading2"/>
      </w:pPr>
      <w:r>
        <w:t xml:space="preserve">6.3 Boot AI (Stratégie Cold Start)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5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Approche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de transition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Heuristiques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Règles déterministes (numéro connu, email contact, réf. en objet, dossier récent)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Dès J1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Supervision faible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Corrections manuelles génèrent labels organiquement (Inbox validate/refuse)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ML supervisé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Modèles entraînés quand volume labels suffisant (configurable par modèle)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500 labels pour Linkage Ranker</w:t>
            </w:r>
          </w:p>
        </w:tc>
      </w:tr>
    </w:tbl>
    <w:p>
      <w:pPr>
        <w:pStyle w:val="Heading2"/>
      </w:pPr>
      <w:r>
        <w:t xml:space="preserve">6.4 Modèles ML à implémenter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800"/>
        <w:gridCol w:w="1400"/>
        <w:gridCol w:w="1600"/>
        <w:gridCol w:w="1306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/ Input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Avancé</w:t>
            </w:r>
          </w:p>
        </w:tc>
        <w:tc>
          <w:tcPr>
            <w:tcW w:type="dxa" w:w="1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 cible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Matter Linkage Ranker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Learning-to-Rank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vector_sim, contact_match, temporal_window, responsible, keywords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Weighted heuristics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 → neural</w:t>
            </w:r>
          </w:p>
        </w:tc>
        <w:tc>
          <w:tcPr>
            <w:tcW w:type="dxa" w:w="1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nDCG@3 &gt; 0.8, HitRate@1 &gt; 70%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Triage Classifier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Multi-class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content, metadata, sender, thread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 + sentiment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BERT fine-tuned</w:t>
            </w:r>
          </w:p>
        </w:tc>
        <w:tc>
          <w:tcPr>
            <w:tcW w:type="dxa" w:w="1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 macro &gt; 0.85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Deadline Extractor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Sequence labeling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text, metadata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 + temporal rules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NER temporal + LLM</w:t>
            </w:r>
          </w:p>
        </w:tc>
        <w:tc>
          <w:tcPr>
            <w:tcW w:type="dxa" w:w="1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Recall &gt; 95%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 Anomaly Detector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entries, historical patterns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Stats + thresholds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Isolation Forest + XGBoost</w:t>
            </w:r>
          </w:p>
        </w:tc>
        <w:tc>
          <w:tcPr>
            <w:tcW w:type="dxa" w:w="1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Precision &gt; 90%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Style Adapter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Style transfer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Firm’s past writings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LoRA per cabinet</w:t>
            </w:r>
          </w:p>
        </w:tc>
        <w:tc>
          <w:tcPr>
            <w:tcW w:type="dxa" w:w="1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 eval &gt; 4/5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Classifier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Multi-class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content, structure, metadata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Rules + keywords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BERT fine-tuned</w:t>
            </w:r>
          </w:p>
        </w:tc>
        <w:tc>
          <w:tcPr>
            <w:tcW w:type="dxa" w:w="1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 &gt; 90%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Intégrations Externes</w:t>
      </w:r>
    </w:p>
    <w:p>
      <w:pPr>
        <w:pStyle w:val="Heading2"/>
      </w:pPr>
      <w:r>
        <w:t xml:space="preserve">7.1 Plaud.ai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technique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API Token : POST /api/oauth/api-token, client_id + secret_key base64 en header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réception</w:t>
            </w:r>
          </w:p>
        </w:tc>
        <w:tc>
          <w:tcPr>
            <w:tcW w:type="dxa" w:w="7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/api/webhooks/plaud, vérification HMAC SHA-256 via header Plaud-Signature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 submit</w:t>
            </w:r>
          </w:p>
        </w:tc>
        <w:tc>
          <w:tcPr>
            <w:tcW w:type="dxa" w:w="7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/api/workflows/submit (tâches AUDIO_TRANSCRIBE + AI_ETL)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Résultat</w:t>
            </w:r>
          </w:p>
        </w:tc>
        <w:tc>
          <w:tcPr>
            <w:tcW w:type="dxa" w:w="7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/api/workflows/{workflow_id}/result (JSON : transcription, speakers, metadata)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audio</w:t>
            </w:r>
          </w:p>
        </w:tc>
        <w:tc>
          <w:tcPr>
            <w:tcW w:type="dxa" w:w="7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Multipart : generate-presigned-urls → PUT chunks → complete-upload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interne</w:t>
            </w:r>
          </w:p>
        </w:tc>
        <w:tc>
          <w:tcPr>
            <w:tcW w:type="dxa" w:w="7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Enveloppe CaseInteraction : tenant_id, case_id, source=PLAUD, workflow_id, file_id, speaker_segments[], audio_hash_sha256, provenance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Sécurité</w:t>
            </w:r>
          </w:p>
        </w:tc>
        <w:tc>
          <w:tcPr>
            <w:tcW w:type="dxa" w:w="7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webhook en Vault, rotation, rejet si signature invalide, chiffrement audio at-rest</w:t>
            </w:r>
          </w:p>
        </w:tc>
      </w:tr>
    </w:tbl>
    <w:p>
      <w:pPr>
        <w:pStyle w:val="Heading2"/>
      </w:pPr>
      <w:r>
        <w:t xml:space="preserve">7.2 Ringover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technique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7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/api/webhooks/ringover, payload JSON (event, call_id, caller_number, receiver_number, timestamp)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webhook</w:t>
            </w:r>
          </w:p>
        </w:tc>
        <w:tc>
          <w:tcPr>
            <w:tcW w:type="dxa" w:w="7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HMAC/token en header, idempotency_key obligatoire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historique</w:t>
            </w:r>
          </w:p>
        </w:tc>
        <w:tc>
          <w:tcPr>
            <w:tcW w:type="dxa" w:w="7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https://public-api.ringover.com/v2/calls, header Authorization:&lt;api_key&gt;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Empower (transcription)</w:t>
            </w:r>
          </w:p>
        </w:tc>
        <w:tc>
          <w:tcPr>
            <w:tcW w:type="dxa" w:w="7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/empower/platform/:name/channel/:id puis GET /empower/call/:uuid /moments /summary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</w:t>
            </w:r>
          </w:p>
        </w:tc>
        <w:tc>
          <w:tcPr>
            <w:tcW w:type="dxa" w:w="7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 1: E.164 → contact. Signal 2: fuzzy nom/société. Signal 3: fenêtre temporelle. Signal 4: user Ringover → responsable dossier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Enregistrement</w:t>
            </w:r>
          </w:p>
        </w:tc>
        <w:tc>
          <w:tcPr>
            <w:tcW w:type="dxa" w:w="7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Défaut OFF. Activation par tenant avec journal de consentement conforme APD belge</w:t>
            </w:r>
          </w:p>
        </w:tc>
      </w:tr>
    </w:tbl>
    <w:p>
      <w:pPr>
        <w:pStyle w:val="Heading2"/>
      </w:pPr>
      <w:r>
        <w:t xml:space="preserve">7.3 DPA (Digital Platform for Attorneys)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  <w:gridCol w:w="130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Intégration LexiBel</w:t>
            </w:r>
          </w:p>
        </w:tc>
        <w:tc>
          <w:tcPr>
            <w:tcW w:type="dxa" w:w="1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DPA e-Deposit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Dépôt conclusions/pièces au greffe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Dépôt direct depuis LexiBel + accusé dans timeline</w:t>
            </w:r>
          </w:p>
        </w:tc>
        <w:tc>
          <w:tcPr>
            <w:tcW w:type="dxa" w:w="1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DPA JBox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Courrier sécurisé tribunal/confrères (valeur recommandé)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Réception auto + InboxItem + classement + EvidenceLink</w:t>
            </w:r>
          </w:p>
        </w:tc>
        <w:tc>
          <w:tcPr>
            <w:tcW w:type="dxa" w:w="1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DPA RegSol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Registre solvabilité (faillites/PRJ)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Consultation, notifications, import documents + métadonnées</w:t>
            </w:r>
          </w:p>
        </w:tc>
        <w:tc>
          <w:tcPr>
            <w:tcW w:type="dxa" w:w="1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DPA Salduzweb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Missions assistance audition pénale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missions + pré-remplissage timesheet pénal</w:t>
            </w:r>
          </w:p>
        </w:tc>
        <w:tc>
          <w:tcPr>
            <w:tcW w:type="dxa" w:w="1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</w:tbl>
    <w:p>
      <w:pPr>
        <w:pStyle w:val="Heading2"/>
      </w:pPr>
      <w:r>
        <w:t xml:space="preserve">7.4 Outlook/Exchange (Microsoft Graph)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50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LexiBel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emails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/me/messages (délégué) ou /users/{id}/messages (application)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Classement IA prédictif ou drag-drop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PJ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/messages/{id}/attachments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Nommage auto YYYY-MM-DD_Type_Sender.pdf, hash, indexation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Calendrier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/me/events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bidirectionnel, échéances dans timeline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Envoi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/me/sendMail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Envoi depuis LexiBel avec templates juridiques belges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Chronométrage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Durée rédaction mesurée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Suggestion TimeEntry : « 12 min de rédaction, facturer ? »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Paramétrisation par Cabinet</w:t>
      </w:r>
    </w:p>
    <w:p>
      <w:pPr>
        <w:spacing w:after="140" w:line="276"/>
        <w:jc w:val="both"/>
      </w:pPr>
      <w:r>
        <w:t xml:space="preserve">Chaque configuration est versionnée (timestamp + auteur) et testable en sandbox avant déploiement.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30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Paramètres disponibles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Matières &amp; Dossiers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 matière, états lifecycle, types documents, catégories emails, arborescence GED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Droit social, Droit pénal, M&amp;A, Contentieux civil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Facturation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Taux horaires par rôle, arrondi (6/10/15 min), forfaits, layout facture, compte Peppol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 250€/h, Associate 180€/h, arrondi 6 min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Chaînes approbation, templates tâches, règles escalade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Timesheet → Partner → Comptable → Facture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Surfaces activées, seuils confiance, providers LLM, modèles sélectionnés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Seuil auto-attach 0.85, Mistral Large, GPT-4o fallback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Style rédaction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Ton (formel/semi), structure conclusions, clauses préférées/interdites, templates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Conclusions en 4 parties, ton formel strict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Sécurité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Rédaction PII (toujours/conditionnel), BYOK, rétention logs IA, restrictions accès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Redaction toujours active, BYOK Azure Key Vault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Ringover on/off, Plaud on/off, Outlook, DPA, enregistrement appels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Ringover ON, Plaud ON, enregistrement OFF</w:t>
            </w:r>
          </w:p>
        </w:tc>
      </w:tr>
    </w:tbl>
    <w:p>
      <w:pPr>
        <w:spacing w:after="300"/>
      </w:pPr>
    </w:p>
    <w:p>
      <w:pPr>
        <w:pBdr>
          <w:top w:val="single" w:color="1B365D" w:sz="4" w:space="1"/>
        </w:pBdr>
        <w:spacing w:before="300" w:after="100"/>
        <w:jc w:val="center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FIN DU DOCUMENT — LXB-ARCH-002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LexiBel — Architecture &amp; Infrastructure</w:t>
    </w:r>
    <w:r>
      <w:rPr>
        <w:rFonts w:ascii="Arial" w:cs="Arial" w:eastAsia="Arial" w:hAnsi="Arial"/>
        <w:color w:val="999999"/>
        <w:sz w:val="16"/>
        <w:szCs w:val="16"/>
      </w:rPr>
      <w:t xml:space="preserve">	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E5984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3A7CA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i/>
      <w:iCs/>
      <w:color w:val="4A90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2026-02-15T11:42:55.757Z</dcterms:created>
  <dcterms:modified xsi:type="dcterms:W3CDTF">2026-02-15T11:42:55.758Z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