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984"/>
          <w:sz w:val="56"/>
          <w:szCs w:val="56"/>
        </w:rPr>
        <w:t xml:space="preserve">LEXIBEL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L’Écosystème Juridique Intelligent pour le Barreau Belge</w:t>
      </w:r>
    </w:p>
    <w:p>
      <w:pPr>
        <w:spacing w:after="300"/>
      </w:pPr>
    </w:p>
    <w:p>
      <w:pPr>
        <w:pBdr>
          <w:bottom w:val="single" w:color="2E5984" w:sz="6" w:space="1"/>
        </w:pBdr>
        <w:spacing w:after="4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3436"/>
          <w:sz w:val="40"/>
          <w:szCs w:val="40"/>
        </w:rPr>
        <w:t xml:space="preserve">Backend Developer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36E72"/>
          <w:sz w:val="24"/>
          <w:szCs w:val="24"/>
        </w:rPr>
        <w:t xml:space="preserve">Modèle de données, API, services et flux pour les développeurs backend</w:t>
      </w:r>
    </w:p>
    <w:p>
      <w:pPr>
        <w:spacing w:after="6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document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LXB-BACK-003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Février 2026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LexiBel (Legal Cortex)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Prêt pour développement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Modèle de Données Complet</w:t>
      </w:r>
    </w:p>
    <w:p>
      <w:pPr>
        <w:spacing w:after="140" w:line="276"/>
        <w:jc w:val="both"/>
      </w:pPr>
      <w:r>
        <w:t xml:space="preserve">Le schéma PostgreSQL est organisé en quatre domaines fonctionnels. Chaque table porte une colonne tenant_id (UUID, NOT NULL) avec RLS activé. Clés primaires en UUID v7 (ordonnés chronologiquement).</w:t>
      </w:r>
    </w:p>
    <w:p>
      <w:pPr>
        <w:pStyle w:val="Heading2"/>
      </w:pPr>
      <w:r>
        <w:t xml:space="preserve">1.1 Domaine Multi-Tenant &amp; Sécurité</w:t>
      </w:r>
    </w:p>
    <w:p>
      <w:pPr>
        <w:pStyle w:val="Heading3"/>
      </w:pPr>
      <w:r>
        <w:t xml:space="preserve">Table : tenants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uuid_generate_v7()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 du tenant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 du cabinet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 URL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ENUM(essential,professional,enterprise)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essential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tarifaire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'fr-BE'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Langue par défaut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'{}'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cabinet versionnée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config_version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configuration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byok_key_arn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ARN de la CMK (BYOK)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ENUM(active,suspended,pending_deletion)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39C12" w:sz="12" w:space="8"/>
        </w:pBdr>
        <w:spacing w:after="160" w:line="276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Pas de RLS sur tenants : accès super-admin uniquement.</w:t>
      </w:r>
    </w:p>
    <w:p>
      <w:pPr>
        <w:pStyle w:val="Heading3"/>
      </w:pPr>
      <w:r>
        <w:t xml:space="preserve">Table : users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tenants, 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par tenant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ENUM(partner,associate,junior,secretary,accountant,admin,super_admin)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Rôle RBAC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OIDC/SAML/local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mfa_enabled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hourly_rate_cents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Taux horaire en centimes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Table : audit_logs (append-only)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5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BIGSERIAL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Auto-incrément, append-only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users, NULLABLE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pour events système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DOCUMENT_VIEW, AI_GENERATE...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case, document, invoice...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Détails : before/after, IP, user_agent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</w:t>
            </w:r>
          </w:p>
        </w:tc>
      </w:tr>
    </w:tbl>
    <w:p>
      <w:pPr>
        <w:pBdr>
          <w:left w:val="single" w:color="E74C3C" w:sz="12" w:space="8"/>
        </w:pBdr>
        <w:spacing w:after="160" w:line="276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GRANT INSERT ONLY au rôle applicatif. Aucun UPDATE ni DELETE autorisé.</w:t>
      </w:r>
    </w:p>
    <w:p>
      <w:r>
        <w:br w:type="page"/>
      </w:r>
    </w:p>
    <w:p>
      <w:pPr>
        <w:pStyle w:val="Heading2"/>
      </w:pPr>
      <w:r>
        <w:t xml:space="preserve">1.2 Domaine Case Brain</w:t>
      </w:r>
    </w:p>
    <w:p>
      <w:pPr>
        <w:pStyle w:val="Heading3"/>
      </w:pPr>
      <w:r>
        <w:t xml:space="preserve">Table : cases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9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 interne (ex: 2024/0127)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court_reference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rôle tribunal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Intitulé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matter_type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matière (configurable)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'open'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Lifecycle (configurable)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Tribunal compétent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responsible_user_id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users, 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Avocat responsable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team_user_ids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UUID[]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Équipe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Champs custom</w:t>
            </w:r>
          </w:p>
        </w:tc>
      </w:tr>
    </w:tbl>
    <w:p>
      <w:pPr>
        <w:pStyle w:val="Heading3"/>
      </w:pPr>
      <w:r>
        <w:t xml:space="preserve">Table : contacts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9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ENUM(natural, legal)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 ou PM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bce_number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BCE (entreprises belges)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national_register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BYTEA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Chiffré pgcrypto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phone_e164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E.164 (matching Ringover)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Adresse structurée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'fr'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Langue communication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gdpr_consent_at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Consentement RGPD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gdpr_retention_until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 conservation</w:t>
            </w:r>
          </w:p>
        </w:tc>
      </w:tr>
    </w:tbl>
    <w:p>
      <w:pPr>
        <w:pStyle w:val="Heading3"/>
      </w:pPr>
      <w:r>
        <w:t xml:space="preserve">Table : interaction_events (Event Store, append-only)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43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cases, 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rattaché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ENUM(EMAIL,CALL,TRANSCRIPT,DEPOSIT,COURT_DOC,DOCUMENT,INTERNAL_NOTE,MEETING)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OUTLOOK,RINGOVER,PLAUD,DPA_DEPOSIT,DPA_JBOX,MANUAL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de l’interaction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Objet/titre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Résumé (IA ou manuel)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raw_payload_hash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payload brut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Métadonnées spécifiques type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validated_by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users, 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Validateur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3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Table : inbox_items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410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ENUM(draft,validated,refused,expired)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draft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source_event_id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système source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tenant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Déduplication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raw_payload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raw_payload_hash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'[]'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Top-3 [{case_id, score, signals, explanation}]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resolved_case_id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cases, NULLABLE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final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resolved_by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users, NULLABLE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Table : evidence_links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1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interaction_event_id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interaction_events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file_hash_sha256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 SHA-256 fichier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Chemin S3 (/tenant_id/case_id/...)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MIME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file_size_bytes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Taille en octets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Horodatage ingestion</w:t>
            </w:r>
          </w:p>
        </w:tc>
      </w:tr>
    </w:tbl>
    <w:p>
      <w:pPr>
        <w:pStyle w:val="Heading3"/>
      </w:pPr>
      <w:r>
        <w:t xml:space="preserve">Table : chunks (fragments indexés)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1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cases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evidence_link_id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evidence_links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Texte du fragment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page_number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source (nullable)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dans Qdrant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bge-m3, multilingual-e5...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1.3 Domaine Ops Cabinet</w:t>
      </w:r>
    </w:p>
    <w:p>
      <w:pPr>
        <w:pStyle w:val="Heading3"/>
      </w:pPr>
      <w:r>
        <w:t xml:space="preserve">Table : time_entries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45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cases, 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users, 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Avocat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prestation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Durée après arrondi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raw_duration_minutes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Durée brute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rounding_rule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ENUM(6min,10min,15min,none)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arrondi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activity_code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Communication, Rédaction, Audience...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hourly_rate_cents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Taux appliqué (centimes)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amount_cents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Montant calculé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ENUM(manual,timer,ringover_auto,plaud_auto,outlook_suggest)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source_event_id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interaction_events, NULLABLE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ENUM(draft,submitted,approved,invoiced)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draft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users, NULLABLE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</w:pPr>
      <w:r>
        <w:t xml:space="preserve">Table : invoices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4506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cases, 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per tenant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Numéro séquentiel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client_contact_id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contacts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ENUM(draft,approved,sent,paid,overdue,cancelled)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subtotal_cents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vat_rate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21%, 0% intracom...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vat_amount_cents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TVA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total_cents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TTC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provisions_applied_cents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Provisions déduites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debours_cents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Débours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due_date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peppol_ubl_xml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 UBL 2.1 généré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peppol_sent_at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peppol_ack_at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4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Accusé Peppol</w:t>
            </w:r>
          </w:p>
        </w:tc>
      </w:tr>
    </w:tbl>
    <w:p>
      <w:pPr>
        <w:pStyle w:val="Heading3"/>
      </w:pPr>
      <w:r>
        <w:t xml:space="preserve">Table : third_party_account (Compte de tiers rubriqué, append-only)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1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cases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ENUM(deposit,withdrawal,transfer,interest)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mouvement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amount_cents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Libellé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bank_reference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Réf bancaire (nullable)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occurred_at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mouvement</w:t>
            </w:r>
          </w:p>
        </w:tc>
      </w:tr>
    </w:tbl>
    <w:p>
      <w:pPr>
        <w:pBdr>
          <w:left w:val="single" w:color="E74C3C" w:sz="12" w:space="8"/>
        </w:pBdr>
        <w:spacing w:after="160" w:line="276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2D3436"/>
          <w:sz w:val="20"/>
          <w:szCs w:val="20"/>
        </w:rPr>
        <w:t xml:space="preserve">INSERT ONLY pour conformité OBFG/OVB. Les corrections sont des écritures inversées.</w:t>
      </w:r>
    </w:p>
    <w:p>
      <w:r>
        <w:br w:type="page"/>
      </w:r>
    </w:p>
    <w:p>
      <w:pPr>
        <w:pStyle w:val="Heading1"/>
      </w:pPr>
      <w:r>
        <w:t xml:space="preserve">2. Spécification API REST</w:t>
      </w:r>
    </w:p>
    <w:p>
      <w:pPr>
        <w:spacing w:after="140" w:line="276"/>
        <w:jc w:val="both"/>
      </w:pPr>
      <w:r>
        <w:t xml:space="preserve">API REST/JSON, OpenAPI 3.1 auto-généré par FastAPI. Routes préfixées /api/v1. Auth Bearer JWT. tenant_id injecté par middleware RLS.</w:t>
      </w:r>
    </w:p>
    <w:p>
      <w:pPr>
        <w:pStyle w:val="Heading2"/>
      </w:pPr>
      <w:r>
        <w:t xml:space="preserve">2.1 Auth &amp; Tenants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800"/>
        <w:gridCol w:w="34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OIDC (code exchange)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/auth/mfa/verify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MFA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JWT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 courant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tenant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Super-admin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/tenants/:id/config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 config cabinet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/tenants/:id/config/history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versions</w:t>
            </w:r>
          </w:p>
        </w:tc>
        <w:tc>
          <w:tcPr>
            <w:tcW w:type="dxa" w:w="34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</w:pPr>
      <w:r>
        <w:t xml:space="preserve">2.2 Cases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200"/>
        <w:gridCol w:w="30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(filtre statut, matière, responsable, pagination cursor)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Partner, Associate, Admin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(+ conflict check auto)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Partner, Associate, Secretary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assignée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/cases/:id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assignée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/cases/:id/timeline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(paginated, filtres type/date)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assignée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/cases/:id/documents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GED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assignée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/cases/:id/documents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assignée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/cases/:id/graph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(noeuds + arêtes)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assignée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/cases/:id/conflict-check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conflits d’intérêts</w:t>
            </w:r>
          </w:p>
        </w:tc>
        <w:tc>
          <w:tcPr>
            <w:tcW w:type="dxa" w:w="3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Partner, Admin</w:t>
            </w:r>
          </w:p>
        </w:tc>
      </w:tr>
    </w:tbl>
    <w:p>
      <w:pPr>
        <w:pStyle w:val="Heading2"/>
      </w:pPr>
      <w:r>
        <w:t xml:space="preserve">2.3 Inbox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400"/>
        <w:gridCol w:w="26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/inbox-items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items à valider (filtre source, statut, pagination)</w:t>
            </w:r>
          </w:p>
        </w:tc>
        <w:tc>
          <w:tcPr>
            <w:tcW w:type="dxa" w:w="2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Partner, Associate, Secretary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/inbox-items/:id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Détail + suggestions Top-3</w:t>
            </w:r>
          </w:p>
        </w:tc>
        <w:tc>
          <w:tcPr>
            <w:tcW w:type="dxa" w:w="2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/inbox-items/:id/validate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Valider rattachement {case_id}</w:t>
            </w:r>
          </w:p>
        </w:tc>
        <w:tc>
          <w:tcPr>
            <w:tcW w:type="dxa" w:w="2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/inbox-items/:id/refuse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Refuser</w:t>
            </w:r>
          </w:p>
        </w:tc>
        <w:tc>
          <w:tcPr>
            <w:tcW w:type="dxa" w:w="2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/inbox-items/:id/create-case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nouveau dossier + valider</w:t>
            </w:r>
          </w:p>
        </w:tc>
        <w:tc>
          <w:tcPr>
            <w:tcW w:type="dxa" w:w="2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2.4 Webhooks (réception)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000"/>
        <w:gridCol w:w="36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Sécurité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/webhooks/ringover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events appels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 token + idempotency_key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/webhooks/plaud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events Plaud.ai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HMAC SHA-256 via Plaud-Signature header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/webhooks/outlook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Microsoft Graph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subscription token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/webhooks/dpa-jbox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courrier DPA JBox</w:t>
            </w:r>
          </w:p>
        </w:tc>
        <w:tc>
          <w:tcPr>
            <w:tcW w:type="dxa" w:w="3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DPA + signature</w:t>
            </w:r>
          </w:p>
        </w:tc>
      </w:tr>
    </w:tbl>
    <w:p>
      <w:pPr>
        <w:pStyle w:val="Heading2"/>
      </w:pPr>
      <w:r>
        <w:t xml:space="preserve">2.5 Search (Case Brain)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800"/>
        <w:gridCol w:w="22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/search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Case Brain (query, case_id optionnel, filters)</w:t>
            </w:r>
          </w:p>
        </w:tc>
        <w:tc>
          <w:tcPr>
            <w:tcW w:type="dxa" w:w="22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/search/graph-expand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Expansion graphe Neo4j à partir d’un noeud</w:t>
            </w:r>
          </w:p>
        </w:tc>
        <w:tc>
          <w:tcPr>
            <w:tcW w:type="dxa" w:w="22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/ai/generate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IA sourcée (draft courrier, résumé, analyse)</w:t>
            </w:r>
          </w:p>
        </w:tc>
        <w:tc>
          <w:tcPr>
            <w:tcW w:type="dxa" w:w="22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/ai/privilege-check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caractère privilégié d’un document</w:t>
            </w:r>
          </w:p>
        </w:tc>
        <w:tc>
          <w:tcPr>
            <w:tcW w:type="dxa" w:w="22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</w:t>
            </w:r>
          </w:p>
        </w:tc>
      </w:tr>
    </w:tbl>
    <w:p>
      <w:pPr>
        <w:pStyle w:val="Heading2"/>
      </w:pPr>
      <w:r>
        <w:t xml:space="preserve">2.6 Time &amp; Billing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6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/time-entries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(filtre case, user, date range, statut)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/time-entries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prestation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/time-entries/:id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/time-entries/:id/approve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Approbation superviseur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factures (filtre statut, client, case)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facture depuis prestations validées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/invoices/:id/finalize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Finalisation + génération UBL XML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/invoices/:id/send-peppol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Envoi via Access Point Peppol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/third-party-account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Mouvements compte de tiers (filtre case)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/third-party-account</w:t>
            </w:r>
          </w:p>
        </w:tc>
        <w:tc>
          <w:tcPr>
            <w:tcW w:type="dxa" w:w="56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Enregistrement mouvement</w:t>
            </w:r>
          </w:p>
        </w:tc>
      </w:tr>
    </w:tbl>
    <w:p>
      <w:pPr>
        <w:pStyle w:val="Heading2"/>
      </w:pPr>
      <w:r>
        <w:t xml:space="preserve">2.7 Migration Center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806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/migration/import</w:t>
            </w:r>
          </w:p>
        </w:tc>
        <w:tc>
          <w:tcPr>
            <w:tcW w:type="dxa" w:w="5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Lancement import batch (source, fichiers, mapping)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/migration/status/:id</w:t>
            </w:r>
          </w:p>
        </w:tc>
        <w:tc>
          <w:tcPr>
            <w:tcW w:type="dxa" w:w="5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 import (progression, anomalies)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/migration/dry-run/:id</w:t>
            </w:r>
          </w:p>
        </w:tc>
        <w:tc>
          <w:tcPr>
            <w:tcW w:type="dxa" w:w="5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Rapport dry-run (anomalies, duplicats, champs manquants)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/migration/validate/:id</w:t>
            </w:r>
          </w:p>
        </w:tc>
        <w:tc>
          <w:tcPr>
            <w:tcW w:type="dxa" w:w="58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import + scellé hash SHA-256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Architecture des Services Backend</w:t>
      </w:r>
    </w:p>
    <w:p>
      <w:pPr>
        <w:pStyle w:val="Heading2"/>
      </w:pPr>
      <w:r>
        <w:t xml:space="preserve">3.1 Services principaux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7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 Celery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Login, JWT, MFA, RBAC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 (sessions)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Provisioning, config, feature flags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dossiers, contacts, conflict check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Redis (cache)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Création/validation InboxItems, suggestions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ML models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Oui (matching)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InteractionEvents, EvidenceLinks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S3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IndexingService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Chunking, embeddings, graph update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Qdrant, Neo4j, PostgreSQL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 vectorielle + graphe, re-ranking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Qdrant, Neo4j, Redis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LLMGateway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Pseudonymisation, policy, citation check, logging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vLLM, Azure OpenAI, PostgreSQL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Timesheet, valorisation, invoices, Peppol UBL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Oui (Peppol)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ThirdPartyAccountService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Compte de tiers rubriqué, rapprochement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Import, dry-run, validation, scellé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S3, Celery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Réception, signature check, idempotence, dispatch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Redis, Celery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Logging immuable toutes actions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(INSERT only)</w:t>
            </w:r>
          </w:p>
        </w:tc>
        <w:tc>
          <w:tcPr>
            <w:tcW w:type="dxa" w:w="27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</w:tbl>
    <w:p>
      <w:pPr>
        <w:pStyle w:val="Heading2"/>
      </w:pPr>
      <w:r>
        <w:t xml:space="preserve">3.2 Contrats d’événements internes</w:t>
      </w:r>
    </w:p>
    <w:p>
      <w:pPr>
        <w:spacing w:after="140" w:line="276"/>
        <w:jc w:val="both"/>
      </w:pPr>
      <w:r>
        <w:t xml:space="preserve">Les services communiquent via un Event Bus (Redis Streams ou Celery signals) pour le découplage 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50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Producteur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Consommateurs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clé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InteractionReceived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InboxService, AuditService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source, raw_payload, idempotency_key, tenant_id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InboxItemCreated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MatchingWorker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inbox_item_id, tenant_id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SuggestionsReady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MatchingWorker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(WebSocket/SSE)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inbox_item_id, suggestions[]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InteractionLinked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TimelineService, TimeEntryCreator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inbox_item_id, case_id, user_id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EventPublished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IndexingWorker, AuditService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event_id, case_id, type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ChunksIndexed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IndexingWorker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GraphUpdateWorker, SearchService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chunk_ids[], model_version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GraphUpdated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GraphUpdateWorker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SearchService (cache invalidation)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case_id, nodes_added, edges_added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DraftGenerated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LLMGateway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UI, AuditService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case_id, type, model_version, hash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DraftApproved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TimelineService, MLFeedbackCollector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draft_id, user_id, diff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InvoiceFinalized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BillingService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PeppolSendWorker, AuditService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invoice_id, peppol_xml_hash</w:t>
            </w:r>
          </w:p>
        </w:tc>
      </w:tr>
    </w:tbl>
    <w:p>
      <w:pPr>
        <w:pStyle w:val="Heading2"/>
      </w:pPr>
      <w:r>
        <w:t xml:space="preserve">3.3 Middleware Stack (ordre d’exécution)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CORSMiddleware : </w:t>
      </w:r>
      <w:r>
        <w:t xml:space="preserve">origines autorisées configurées par env.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RateLimitMiddleware : </w:t>
      </w:r>
      <w:r>
        <w:t xml:space="preserve">token bucket par IP et par user/tenant (Redis).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AuthMiddleware : </w:t>
      </w:r>
      <w:r>
        <w:t xml:space="preserve">extraction et validation JWT, injection user dans request.state.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TenantMiddleware : </w:t>
      </w:r>
      <w:r>
        <w:t xml:space="preserve">extraction tenant_id du JWT, SET LOCAL RLS, injection dans request.state.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RBACMiddleware : </w:t>
      </w:r>
      <w:r>
        <w:t xml:space="preserve">vérification permissions (role + resource) avant routage.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AuditMiddleware : </w:t>
      </w:r>
      <w:r>
        <w:t xml:space="preserve">logging des requêtes (méthode, path, user, tenant, résultat, latence).</w:t>
      </w:r>
    </w:p>
    <w:p>
      <w:r>
        <w:br w:type="page"/>
      </w:r>
    </w:p>
    <w:p>
      <w:pPr>
        <w:pStyle w:val="Heading1"/>
      </w:pPr>
      <w:r>
        <w:t xml:space="preserve">4. Flux Webhooks Détaillés</w:t>
      </w:r>
    </w:p>
    <w:p>
      <w:pPr>
        <w:pStyle w:val="Heading2"/>
      </w:pPr>
      <w:r>
        <w:t xml:space="preserve">4.1 Flux Ringover</w:t>
      </w:r>
    </w:p>
    <w:p>
      <w:pPr>
        <w:spacing w:after="140" w:line="276"/>
        <w:jc w:val="both"/>
      </w:pPr>
      <w:r>
        <w:t xml:space="preserve">Le webhook Ringover est le plus fréquent (chaque appel entrant/sortant).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Étape 1 (Réception) : </w:t>
      </w:r>
      <w:r>
        <w:t xml:space="preserve">POST /api/webhooks/ringover. Vérification HMAC/token, extraction idempotency_key.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Étape 2 (Déduplication) : </w:t>
      </w:r>
      <w:r>
        <w:t xml:space="preserve">Redis SETNX sur idempotency_key (TTL 72h). Si existe déjà : return 200 OK (idempotent).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Étape 3 (Identification) : </w:t>
      </w:r>
      <w:r>
        <w:t xml:space="preserve">Lookup numéro E.164 dans contacts table. Si match unique : contact_id. Si multiple : liste candidats.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Étape 4 (Matching) : </w:t>
      </w:r>
      <w:r>
        <w:t xml:space="preserve">Matter Linkage Ranker. Signal 1 : contact → dossiers ouverts. Signal 2 : fenetre temporelle. Signal 3 : user Ringover → responsible. Score &gt; seuil = auto-attach.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Étape 5 (InboxItem) : </w:t>
      </w:r>
      <w:r>
        <w:t xml:space="preserve">Création InboxItem avec suggestions Top-3. Si auto-attach : statut VALIDATED + création InteractionEvent + TimeEntry.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Étape 6 (Notification) : </w:t>
      </w:r>
      <w:r>
        <w:t xml:space="preserve">WebSocket/SSE vers l’UI de l’avocat concerné.</w:t>
      </w:r>
    </w:p>
    <w:p>
      <w:pPr>
        <w:pStyle w:val="Heading2"/>
      </w:pPr>
      <w:r>
        <w:t xml:space="preserve">4.2 Flux Plaud.ai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Étape 1 : </w:t>
      </w:r>
      <w:r>
        <w:t xml:space="preserve">POST /api/webhooks/plaud. Vérification HMAC SHA-256 via header Plaud-Signature.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Étape 2 : </w:t>
      </w:r>
      <w:r>
        <w:t xml:space="preserve">Déduplication via workflow_id.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Étape 3 : </w:t>
      </w:r>
      <w:r>
        <w:t xml:space="preserve">Pull result complet : GET /api/workflows/{workflow_id}/result (transcription, speakers, metadata).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Étape 4 : </w:t>
      </w:r>
      <w:r>
        <w:t xml:space="preserve">Transformation IA : transcript brut → document structuré (compte-rendu audience, mémo réunion) en mode DRAFT.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Étape 5 : </w:t>
      </w:r>
      <w:r>
        <w:t xml:space="preserve">Matching multi-signal (contenu, participants, dossiers récents). Création InboxItem.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Étape 6 : </w:t>
      </w:r>
      <w:r>
        <w:t xml:space="preserve">Validation humaine obligatoire. Publication uniquement après approbation.</w:t>
      </w:r>
    </w:p>
    <w:p>
      <w:pPr>
        <w:pBdr>
          <w:left w:val="single" w:color="F39C12" w:sz="12" w:space="8"/>
        </w:pBdr>
        <w:spacing w:after="160" w:line="276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Note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Le document structuré généré par IA est toujours en mode brouillon. Aucune publication sans Human-in-the-Loop.</w:t>
      </w:r>
    </w:p>
    <w:p>
      <w:r>
        <w:br w:type="page"/>
      </w:r>
    </w:p>
    <w:p>
      <w:pPr>
        <w:pStyle w:val="Heading1"/>
      </w:pPr>
      <w:r>
        <w:t xml:space="preserve">5. Facturation Peppol (Implémentation)</w:t>
      </w:r>
    </w:p>
    <w:p>
      <w:pPr>
        <w:pStyle w:val="Heading2"/>
      </w:pPr>
      <w:r>
        <w:t xml:space="preserve">5.1 Flux complet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Génération brouillon : </w:t>
      </w:r>
      <w:r>
        <w:t xml:space="preserve">depuis prestations approved, application règles valorisation (taux, forfait, débours, provisions).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Calcul TVA : </w:t>
      </w:r>
      <w:r>
        <w:t xml:space="preserve">21% standard, 0% intracom (art. 44 CTVA), 0% cocontractant. Auto-détection selon pays client (BCE lookup).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Validation : </w:t>
      </w:r>
      <w:r>
        <w:t xml:space="preserve">Partner ou Comptable approuve.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Génération XML : </w:t>
      </w:r>
      <w:r>
        <w:t xml:space="preserve">UBL 2.1 conforme Peppol BIS Billing 3.0. Validation schema automatisée.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Envoi : </w:t>
      </w:r>
      <w:r>
        <w:t xml:space="preserve">via Access Point certifié (PEPPOL SMP/SML lookup du receiver).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Accusé : </w:t>
      </w:r>
      <w:r>
        <w:t xml:space="preserve">Réception acknowledgment, stockage dans invoice.peppol_ack_at.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Archivage : </w:t>
      </w:r>
      <w:r>
        <w:t xml:space="preserve">XML + PDF + accusé archivés avec hash dans audit_logs.</w:t>
      </w:r>
    </w:p>
    <w:p>
      <w:pPr>
        <w:pStyle w:val="Heading2"/>
      </w:pPr>
      <w:r>
        <w:t xml:space="preserve">5.2 Structure UBL minimale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EE2E6" w:sz="1"/>
              <w:left w:val="single" w:color="6C3483" w:sz="4"/>
              <w:bottom w:val="single" w:color="DEE2E6" w:sz="1"/>
              <w:right w:val="single" w:color="DEE2E6" w:sz="1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&lt;Invoice xmlns="urn:oasis:names:specification:ubl:schema:xsd:Invoice-2"&gt;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&lt;UBLVersionID&gt;2.1&lt;/UBLVersionID&gt;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&lt;CustomizationID&gt;urn:cen.eu:en16931:2017#compliant#urn:fdc:peppol.eu:2017:poacc:billing:3.0&lt;/CustomizationID&gt;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&lt;ProfileID&gt;urn:fdc:peppol.eu:2017:poacc:billing:01:1.0&lt;/ProfileID&gt;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&lt;ID&gt;{invoice_number}&lt;/ID&gt;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&lt;IssueDate&gt;{date}&lt;/IssueDate&gt;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&lt;InvoiceTypeCode&gt;380&lt;/InvoiceTypeCode&gt;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&lt;DocumentCurrencyCode&gt;EUR&lt;/DocumentCurrencyCode&gt;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&lt;AccountingSupplierParty&gt;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&lt;Party&gt;&lt;EndpointID schemeID="0208"&gt;{cabinet_bce}&lt;/EndpointID&gt;...&lt;/Party&gt;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&lt;/AccountingSupplierParty&gt;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&lt;AccountingCustomerParty&gt;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&lt;Party&gt;&lt;EndpointID schemeID="0208"&gt;{client_bce}&lt;/EndpointID&gt;...&lt;/Party&gt;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&lt;/AccountingCustomerParty&gt;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&lt;LegalMonetaryTotal&gt;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&lt;TaxExclusiveAmount&gt;{subtotal}&lt;/TaxExclusiveAmount&gt;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  &lt;PayableAmount&gt;{total}&lt;/PayableAmount&gt;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&lt;/LegalMonetaryTotal&gt;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  &lt;InvoiceLine&gt;...&lt;/InvoiceLine&gt;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D3436"/>
                <w:sz w:val="18"/>
                <w:szCs w:val="18"/>
              </w:rPr>
              <w:t xml:space="preserve">&lt;/Invoice&gt;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Migration Center : Implémentation</w:t>
      </w:r>
    </w:p>
    <w:p>
      <w:pPr>
        <w:pStyle w:val="Heading2"/>
      </w:pPr>
      <w:r>
        <w:t xml:space="preserve">6.1 Pipeline standard (6 étapes)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400"/>
        <w:gridCol w:w="3506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 technique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Connect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Connexion source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si dispo, sinon upload fichiers (CSV/ZIP/SQL/XML)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metadata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Sample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Aperçu + mapping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50 lignes, mapping source → LexiBel, résolution divergences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MappingConfig JSON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Dry-run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complète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simulé en transaction ROLLBACK, rapport anomalies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DryRunReport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Import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Exécution réelle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Jobs Celery async, progression WebSocket, reprise sur incident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ImportBatch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Validation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Vérification cohérence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Rapprochement contacts/dossiers, totaux financiers, intégrité timestamps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ValidationReport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Scellé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SHA-256 du batch + AuditLog entry (timestamp, responsible, hash)</w:t>
            </w:r>
          </w:p>
        </w:tc>
        <w:tc>
          <w:tcPr>
            <w:tcW w:type="dxa" w:w="3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HistoricalSeal</w:t>
            </w:r>
          </w:p>
        </w:tc>
      </w:tr>
    </w:tbl>
    <w:p>
      <w:pPr>
        <w:pStyle w:val="Heading2"/>
      </w:pPr>
      <w:r>
        <w:t xml:space="preserve">6.2 Spécificités par outil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90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 import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  <w:tc>
          <w:tcPr>
            <w:tcW w:type="dxa" w:w="2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Difficultés anticipées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Forlex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CSV/ZIP export + Outlook connector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Dossiers, contacts, emails classés, docs, timesheets, factures, valorisations</w:t>
            </w:r>
          </w:p>
        </w:tc>
        <w:tc>
          <w:tcPr>
            <w:tcW w:type="dxa" w:w="2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Mapping valorisation complexe, emails re-linkés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 standardisé ou API Kleos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Dossiers, docs, contacts, structure</w:t>
            </w:r>
          </w:p>
        </w:tc>
        <w:tc>
          <w:tcPr>
            <w:tcW w:type="dxa" w:w="2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XML variable selon version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DLex/Cicero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Scripts lecture SQL legacy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SQL, emails, actes, timesheets</w:t>
            </w:r>
          </w:p>
        </w:tc>
        <w:tc>
          <w:tcPr>
            <w:tcW w:type="dxa" w:w="2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Schéma SQL non documenté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JBox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contrôlé (PDF export + metadata)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Messages, PJ, accusés réception (valeur recommandé)</w:t>
            </w:r>
          </w:p>
        </w:tc>
        <w:tc>
          <w:tcPr>
            <w:tcW w:type="dxa" w:w="2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 timeline juridiction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DPA Deposit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+ timeline reconstruction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Dépôts, accusés, pièces</w:t>
            </w:r>
          </w:p>
        </w:tc>
        <w:tc>
          <w:tcPr>
            <w:tcW w:type="dxa" w:w="2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Outlook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Emails, PJ, calendrier</w:t>
            </w:r>
          </w:p>
        </w:tc>
        <w:tc>
          <w:tcPr>
            <w:tcW w:type="dxa" w:w="29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Volumes importants, rate limiting Graph</w:t>
            </w:r>
          </w:p>
        </w:tc>
      </w:tr>
    </w:tbl>
    <w:p>
      <w:pPr>
        <w:spacing w:after="140" w:line="276"/>
        <w:jc w:val="both"/>
      </w:pPr>
      <w:r>
        <w:rPr>
          <w:b/>
          <w:bCs/>
        </w:rPr>
        <w:t xml:space="preserve">Promesse zéro perte : </w:t>
      </w:r>
      <w:r>
        <w:t xml:space="preserve">chaque email importé devient un InteractionEvent horodaté. Chaque PJ est hashée (SHA-256), stockée, et indexée. Chaque prestation/facture est reconstituée dans le module financier.</w:t>
      </w:r>
    </w:p>
    <w:p>
      <w:pPr>
        <w:spacing w:after="300"/>
      </w:pPr>
    </w:p>
    <w:p>
      <w:pPr>
        <w:pBdr>
          <w:top w:val="single" w:color="2E5984" w:sz="4" w:space="1"/>
        </w:pBdr>
        <w:spacing w:before="300" w:after="1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FIN DU DOCUMENT — LXB-BACK-003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LexiBel — Backend Developer Guide</w:t>
    </w:r>
    <w:r>
      <w:rPr>
        <w:rFonts w:ascii="Arial" w:cs="Arial" w:eastAsia="Arial" w:hAnsi="Arial"/>
        <w:color w:val="999999"/>
        <w:sz w:val="16"/>
        <w:szCs w:val="16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2E598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A7CA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i/>
      <w:iCs/>
      <w:color w:val="4A90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2026-02-15T12:02:23.037Z</dcterms:created>
  <dcterms:modified xsi:type="dcterms:W3CDTF">2026-02-15T12:02:23.038Z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