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cs="Arial" w:eastAsia="Arial" w:hAnsi="Arial"/>
          <w:b/>
          <w:bCs/>
          <w:color w:val="1B365D"/>
          <w:sz w:val="56"/>
          <w:szCs w:val="56"/>
        </w:rPr>
        <w:t xml:space="preserve">LEXIBEL</w:t>
      </w:r>
    </w:p>
    <w:p>
      <w:pPr>
        <w:spacing w:after="60"/>
        <w:jc w:val="center"/>
      </w:pPr>
      <w:r>
        <w:rPr>
          <w:rFonts w:ascii="Arial" w:cs="Arial" w:eastAsia="Arial" w:hAnsi="Arial"/>
          <w:i/>
          <w:iCs/>
          <w:color w:val="7F8C8D"/>
          <w:sz w:val="22"/>
          <w:szCs w:val="22"/>
        </w:rPr>
        <w:t xml:space="preserve">L’Écosystème Juridique Intelligent pour le Barreau Belge</w:t>
      </w:r>
    </w:p>
    <w:p>
      <w:pPr>
        <w:spacing w:after="300"/>
      </w:pPr>
    </w:p>
    <w:p>
      <w:pPr>
        <w:pBdr>
          <w:bottom w:val="single" w:color="1B365D" w:sz="6" w:space="1"/>
        </w:pBdr>
        <w:spacing w:after="400"/>
        <w:jc w:val="center"/>
      </w:pPr>
    </w:p>
    <w:p>
      <w:pPr>
        <w:spacing w:after="200"/>
      </w:pPr>
    </w:p>
    <w:p>
      <w:pPr>
        <w:spacing w:after="80"/>
        <w:jc w:val="center"/>
      </w:pPr>
      <w:r>
        <w:rPr>
          <w:rFonts w:ascii="Arial" w:cs="Arial" w:eastAsia="Arial" w:hAnsi="Arial"/>
          <w:b/>
          <w:bCs/>
          <w:color w:val="2D3436"/>
          <w:sz w:val="40"/>
          <w:szCs w:val="40"/>
        </w:rPr>
        <w:t xml:space="preserve">Product Requirements Document</w:t>
      </w:r>
    </w:p>
    <w:p>
      <w:pPr>
        <w:spacing w:after="200"/>
        <w:jc w:val="center"/>
      </w:pPr>
      <w:r>
        <w:rPr>
          <w:rFonts w:ascii="Arial" w:cs="Arial" w:eastAsia="Arial" w:hAnsi="Arial"/>
          <w:i/>
          <w:iCs/>
          <w:color w:val="636E72"/>
          <w:sz w:val="24"/>
          <w:szCs w:val="24"/>
        </w:rPr>
        <w:t xml:space="preserve">Complete PRD for the LexiBel AI-Native Legal Practice Management Platform</w:t>
      </w:r>
    </w:p>
    <w:p>
      <w:pPr>
        <w:spacing w:after="6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Propriété</w:t>
            </w:r>
          </w:p>
        </w:tc>
        <w:tc>
          <w:tcPr>
            <w:tcW w:type="dxa" w:w="6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Valeur</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Identifiant document</w:t>
            </w:r>
          </w:p>
        </w:tc>
        <w:tc>
          <w:tcPr>
            <w:tcW w:type="dxa" w:w="6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LXB-PRD-001</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Version</w:t>
            </w:r>
          </w:p>
        </w:tc>
        <w:tc>
          <w:tcPr>
            <w:tcW w:type="dxa" w:w="6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v2.0</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6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Février 2026</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Classification</w:t>
            </w:r>
          </w:p>
        </w:tc>
        <w:tc>
          <w:tcPr>
            <w:tcW w:type="dxa" w:w="6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Confidentiel</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Projet</w:t>
            </w:r>
          </w:p>
        </w:tc>
        <w:tc>
          <w:tcPr>
            <w:tcW w:type="dxa" w:w="6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LexiBel (Legal Cortex)</w:t>
            </w:r>
          </w:p>
        </w:tc>
      </w:tr>
      <w:tr>
        <w:tc>
          <w:tcPr>
            <w:tcW w:type="dxa" w:w="2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Statut</w:t>
            </w:r>
          </w:p>
        </w:tc>
        <w:tc>
          <w:tcPr>
            <w:tcW w:type="dxa" w:w="6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Prêt pour développement</w:t>
            </w:r>
          </w:p>
        </w:tc>
      </w:tr>
    </w:tbl>
    <w:p>
      <w:r>
        <w:br w:type="page"/>
      </w:r>
    </w:p>
    <w:p>
      <w:pPr>
        <w:pStyle w:val="Heading1"/>
      </w:pPr>
      <w: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Product Overview</w:t>
      </w:r>
    </w:p>
    <w:p>
      <w:pPr>
        <w:pStyle w:val="Heading2"/>
      </w:pPr>
      <w:r>
        <w:t xml:space="preserve">1.1 Product Name &amp; Identity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7106"/>
      </w:tblGrid>
      <w:tr>
        <w:tc>
          <w:tcPr>
            <w:tcW w:type="dxa" w:w="2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71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Product Name</w:t>
            </w:r>
          </w:p>
        </w:tc>
        <w:tc>
          <w:tcPr>
            <w:tcW w:type="dxa" w:w="7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LexiBel</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Tagline</w:t>
            </w:r>
          </w:p>
        </w:tc>
        <w:tc>
          <w:tcPr>
            <w:tcW w:type="dxa" w:w="7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The Intelligent Legal Ecosystem for the Belgian Bar</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Product Type</w:t>
            </w:r>
          </w:p>
        </w:tc>
        <w:tc>
          <w:tcPr>
            <w:tcW w:type="dxa" w:w="7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SaaS, B2B, AI-Native Practice Management System</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Target Market</w:t>
            </w:r>
          </w:p>
        </w:tc>
        <w:tc>
          <w:tcPr>
            <w:tcW w:type="dxa" w:w="7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Belgian law firms (OBFG + OVB), all sizes</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Primary Languages</w:t>
            </w:r>
          </w:p>
        </w:tc>
        <w:tc>
          <w:tcPr>
            <w:tcW w:type="dxa" w:w="7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French, Dutch, English, German</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Document ID</w:t>
            </w:r>
          </w:p>
        </w:tc>
        <w:tc>
          <w:tcPr>
            <w:tcW w:type="dxa" w:w="7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LXB-PRD-001</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Version</w:t>
            </w:r>
          </w:p>
        </w:tc>
        <w:tc>
          <w:tcPr>
            <w:tcW w:type="dxa" w:w="7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2.0</w:t>
            </w:r>
          </w:p>
        </w:tc>
      </w:tr>
      <w:tr>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Date</w:t>
            </w:r>
          </w:p>
        </w:tc>
        <w:tc>
          <w:tcPr>
            <w:tcW w:type="dxa" w:w="7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February 2026</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Classification</w:t>
            </w:r>
          </w:p>
        </w:tc>
        <w:tc>
          <w:tcPr>
            <w:tcW w:type="dxa" w:w="7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Confidential</w:t>
            </w:r>
          </w:p>
        </w:tc>
      </w:tr>
    </w:tbl>
    <w:p>
      <w:pPr>
        <w:pStyle w:val="Heading2"/>
      </w:pPr>
      <w:r>
        <w:t xml:space="preserve">1.2 Vision Statement</w:t>
      </w:r>
    </w:p>
    <w:p>
      <w:pPr>
        <w:spacing w:after="140" w:line="276"/>
        <w:jc w:val="both"/>
      </w:pPr>
      <w:r>
        <w:t xml:space="preserve">LexiBel is the first Practice Management System designed from scratch with artificial intelligence as its foundational substrate rather than an afterthought. Every interaction entering the system (emails, phone calls, court filings, meeting transcriptions, DPA notifications) feeds a Case Brain that transforms unstructured data into sourced, auditable, actionable knowledge.</w:t>
      </w:r>
    </w:p>
    <w:p>
      <w:pPr>
        <w:spacing w:after="140" w:line="276"/>
        <w:jc w:val="both"/>
      </w:pPr>
      <w:r>
        <w:t xml:space="preserve">Where existing solutions treat a case as a static folder of files, LexiBel treats it as a dynamic Knowledge Graph that understands relationships between people, companies, statutes, evidence, events, deadlines, and financial obligations. This architectural difference enables capabilities impossible in legacy systems: multi-hop legal reasoning, contradiction detection across adverse party documents, personalized drafting that mirrors each firm’s writing style, and autonomous due diligence workflows.</w:t>
      </w:r>
    </w:p>
    <w:p>
      <w:pPr>
        <w:pStyle w:val="Heading2"/>
      </w:pPr>
      <w:r>
        <w:t xml:space="preserve">1.3 Problem Statement</w:t>
      </w:r>
    </w:p>
    <w:p>
      <w:pPr>
        <w:pStyle w:val="ListParagraph"/>
        <w:numPr>
          <w:ilvl w:val="0"/>
          <w:numId w:val="2"/>
        </w:numPr>
        <w:spacing w:after="60" w:line="276"/>
      </w:pPr>
      <w:r>
        <w:rPr>
          <w:b/>
          <w:bCs/>
        </w:rPr>
        <w:t xml:space="preserve">Intelligence Gap: </w:t>
      </w:r>
      <w:r>
        <w:t xml:space="preserve">Incumbent tools (Forlex, Kleos, DLex/Cicero) were built in the pre-AI era. They store documents but do not understand them. AI features, where they exist, are limited to basic summarization.</w:t>
      </w:r>
    </w:p>
    <w:p>
      <w:pPr>
        <w:pStyle w:val="ListParagraph"/>
        <w:numPr>
          <w:ilvl w:val="0"/>
          <w:numId w:val="2"/>
        </w:numPr>
        <w:spacing w:after="60" w:line="276"/>
      </w:pPr>
      <w:r>
        <w:rPr>
          <w:b/>
          <w:bCs/>
        </w:rPr>
        <w:t xml:space="preserve">Integration Gap: </w:t>
      </w:r>
      <w:r>
        <w:t xml:space="preserve">Critical interaction channels (Ringover calls, Plaud.ai transcripts, DPA court filings, Outlook emails) exist in silos. No system reconstructs the complete interaction history of a case from all sources.</w:t>
      </w:r>
    </w:p>
    <w:p>
      <w:pPr>
        <w:pStyle w:val="ListParagraph"/>
        <w:numPr>
          <w:ilvl w:val="0"/>
          <w:numId w:val="2"/>
        </w:numPr>
        <w:spacing w:after="60" w:line="276"/>
      </w:pPr>
      <w:r>
        <w:rPr>
          <w:b/>
          <w:bCs/>
        </w:rPr>
        <w:t xml:space="preserve">Compliance Gap: </w:t>
      </w:r>
      <w:r>
        <w:t xml:space="preserve">Belgium imposes the strictest professional secrecy in Europe (Art. 458 Penal Code, criminal sanction). No existing solution provides native privilege detection, PII pseudonymization before LLM, or BYOK encryption. Peppol B2B e-invoicing (mandatory 01/01/2026) forces every firm to upgrade.</w:t>
      </w:r>
    </w:p>
    <w:p>
      <w:r>
        <w:br w:type="page"/>
      </w:r>
    </w:p>
    <w:p>
      <w:pPr>
        <w:pStyle w:val="Heading2"/>
      </w:pPr>
      <w:r>
        <w:t xml:space="preserve">1.4 Target Users &amp; Personas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306"/>
      </w:tblGrid>
      <w:tr>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Persona</w:t>
            </w:r>
          </w:p>
        </w:tc>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2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Pain Points</w:t>
            </w:r>
          </w:p>
        </w:tc>
        <w:tc>
          <w:tcPr>
            <w:tcW w:type="dxa" w:w="43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LexiBel Value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Maître Sophie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Solo practitioner, family law</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Drowning in emails, forgets to bill calls, scared of AI data leaks</w:t>
            </w:r>
          </w:p>
        </w:tc>
        <w:tc>
          <w:tcPr>
            <w:tcW w:type="dxa" w:w="4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Inbox auto-files, Ringover auto-timesheets, Privilege Guard</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Maître Van den Berg</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Managing partner, 12 lawyers</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 visibility on productivity, client churn, outdated tools</w:t>
            </w:r>
          </w:p>
        </w:tc>
        <w:tc>
          <w:tcPr>
            <w:tcW w:type="dxa" w:w="4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BI dashboards, Emotional Radar, Multi-LoRA firm-style drafts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Julie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Legal secretary, large firm</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Manually classifies 200+ emails/day</w:t>
            </w:r>
          </w:p>
        </w:tc>
        <w:tc>
          <w:tcPr>
            <w:tcW w:type="dxa" w:w="4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AI email triage + auto-filing, passive chronometry</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Marc</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Firm accountant</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Peppol migration panic, manual third-party reconciliation</w:t>
            </w:r>
          </w:p>
        </w:tc>
        <w:tc>
          <w:tcPr>
            <w:tcW w:type="dxa" w:w="4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Native Peppol, append-only ledger, automated reconciliation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Thomas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IT manager, 50-lawyer firm</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Data sovereignty concerns, multi-tool sprawl</w:t>
            </w:r>
          </w:p>
        </w:tc>
        <w:tc>
          <w:tcPr>
            <w:tcW w:type="dxa" w:w="4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BYOK encryption, single platform, immutable audit logs</w:t>
            </w:r>
          </w:p>
        </w:tc>
      </w:tr>
    </w:tbl>
    <w:p>
      <w:pPr>
        <w:pStyle w:val="Heading2"/>
      </w:pPr>
      <w:r>
        <w:t xml:space="preserve">1.5 Success Metrics</w:t>
      </w:r>
    </w:p>
    <w:tbl>
      <w:tblPr>
        <w:tblW w:type="dxa" w:w="75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906"/>
      </w:tblGrid>
      <w:tr>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KPI</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M6</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M12</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M18</w:t>
            </w:r>
          </w:p>
        </w:tc>
        <w:tc>
          <w:tcPr>
            <w:tcW w:type="dxa" w:w="1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Active firms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 pilots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10 paying</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20+</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Tenant dashboard</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MRR</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0 EUR</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~15,000 EUR</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~80,000 EUR</w:t>
            </w:r>
          </w:p>
        </w:tc>
        <w:tc>
          <w:tcPr>
            <w:tcW w:type="dxa" w:w="1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Billing</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Correct attachment rate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&gt; 70%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&gt; 85%</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Inbox accept/reject ratio</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Citation coverage (RAG)</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95%</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98%</w:t>
            </w:r>
          </w:p>
        </w:tc>
        <w:tc>
          <w:tcPr>
            <w:tcW w:type="dxa" w:w="1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LLM Gateway logs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Draft review time reduction</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80%</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Surveys + time tracking</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Cross-tenant leaks</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CI tests + PenTest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Peppol success rate</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&gt; 95%</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&gt; 99%</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&gt; 99.5%</w:t>
            </w:r>
          </w:p>
        </w:tc>
        <w:tc>
          <w:tcPr>
            <w:tcW w:type="dxa" w:w="1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AP acknowledgments</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NPS</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30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40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&gt; 45</w:t>
            </w:r>
          </w:p>
        </w:tc>
        <w:tc>
          <w:tcPr>
            <w:tcW w:type="dxa" w:w="1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In-app surveys</w:t>
            </w:r>
          </w:p>
        </w:tc>
      </w:tr>
    </w:tbl>
    <w:p>
      <w:r>
        <w:br w:type="page"/>
      </w:r>
    </w:p>
    <w:p>
      <w:pPr>
        <w:pStyle w:val="Heading1"/>
      </w:pPr>
      <w:r>
        <w:t xml:space="preserve">2. Market Analysis</w:t>
      </w:r>
    </w:p>
    <w:p>
      <w:pPr>
        <w:pStyle w:val="Heading2"/>
      </w:pPr>
      <w:r>
        <w:t xml:space="preserve">2.1 Total Addressable Market</w:t>
      </w:r>
    </w:p>
    <w:p>
      <w:pPr>
        <w:spacing w:after="140" w:line="276"/>
        <w:jc w:val="both"/>
      </w:pPr>
      <w:r>
        <w:t xml:space="preserve">Belgium has approximately 18,500 registered attorneys split between the OBFG (French/German-speaking) and OVB (Flemish).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800"/>
        <w:gridCol w:w="3906"/>
      </w:tblGrid>
      <w:tr>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Segment</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Firms</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Lawyers/firm</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Annual IT Budget</w:t>
            </w:r>
          </w:p>
        </w:tc>
        <w:tc>
          <w:tcPr>
            <w:tcW w:type="dxa" w:w="3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Dominant Tool</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Solo / Micro</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~8,000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500-1,500 EUR</w:t>
            </w:r>
          </w:p>
        </w:tc>
        <w:tc>
          <w:tcPr>
            <w:tcW w:type="dxa" w:w="3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Excel / Forlex basic</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SME</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~2,500</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3-15</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3,000-15,000 EUR</w:t>
            </w:r>
          </w:p>
        </w:tc>
        <w:tc>
          <w:tcPr>
            <w:tcW w:type="dxa" w:w="3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Forlex / Kleos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Mid/Big Law</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~200</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15-100+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30,000-200,000 EUR</w:t>
            </w:r>
          </w:p>
        </w:tc>
        <w:tc>
          <w:tcPr>
            <w:tcW w:type="dxa" w:w="3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Kleos / DLex / Cicero</w:t>
            </w:r>
          </w:p>
        </w:tc>
      </w:tr>
    </w:tbl>
    <w:p>
      <w:pPr>
        <w:spacing w:after="140" w:line="276"/>
        <w:jc w:val="both"/>
      </w:pPr>
      <w:r>
        <w:rPr>
          <w:b/>
          <w:bCs/>
        </w:rPr>
        <w:t xml:space="preserve">TAM estimate: </w:t>
      </w:r>
      <w:r>
        <w:t xml:space="preserve">45-60M EUR/year. The Peppol B2B mandate (01/01/2026) creates an unprecedented migration window.</w:t>
      </w:r>
    </w:p>
    <w:p>
      <w:pPr>
        <w:pStyle w:val="Heading2"/>
      </w:pPr>
      <w:r>
        <w:t xml:space="preserve">2.2 Competitive Landscape</w:t>
      </w:r>
    </w:p>
    <w:p>
      <w:pPr>
        <w:pStyle w:val="Heading3"/>
      </w:pPr>
      <w:r>
        <w:t xml:space="preserve">2.2.1 Belgian Incumbents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400"/>
        <w:gridCol w:w="3506"/>
      </w:tblGrid>
      <w:tr>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w:t>
            </w:r>
          </w:p>
        </w:tc>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Core</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Belgian Compliance</w:t>
            </w:r>
          </w:p>
        </w:tc>
        <w:tc>
          <w:tcPr>
            <w:tcW w:type="dxa" w:w="3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Weakness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Forlex</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All-in-one: dossiers, billing, Outlook, Peppol</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Basic (summarize/transcribe)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Full</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Monolithic, dated UX, no GraphRAG</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Kleos (WK)</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Cloud-native, mobile, client portal</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None (generative)</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Good</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 AI, limited customization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DLex/Cicero</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Robust, deep MS Office integration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Good (legacy)</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On-prem, Word macros, high maintenance</w:t>
            </w:r>
          </w:p>
        </w:tc>
      </w:tr>
    </w:tbl>
    <w:p>
      <w:pPr>
        <w:pStyle w:val="Heading3"/>
      </w:pPr>
      <w:r>
        <w:t xml:space="preserve">2.2.2 International Players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1400"/>
        <w:gridCol w:w="3506"/>
      </w:tblGrid>
      <w:tr>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Competitor</w:t>
            </w:r>
          </w:p>
        </w:tc>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Core</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Belgian Compliance</w:t>
            </w:r>
          </w:p>
        </w:tc>
        <w:tc>
          <w:tcPr>
            <w:tcW w:type="dxa" w:w="3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Weakness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Clio</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Market-leading PMS, vLex acquisition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Admin copilot (date extraction, summaries)</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Shallow reasoning, no privilege-by-design</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Lexis+ AI</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Massive legal DB, Shepard’s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RAG on proprietary corpus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Knows law but not client’s facts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Rocket Matter</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Legal project mgmt, BI</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Deterministic automation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Behind on generative AI</w:t>
            </w:r>
          </w:p>
        </w:tc>
      </w:tr>
    </w:tbl>
    <w:p>
      <w:pPr>
        <w:pStyle w:val="Heading2"/>
      </w:pPr>
      <w:r>
        <w:t xml:space="preserve">2.3 Strategic Opportunity Matrix</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2506"/>
      </w:tblGrid>
      <w:tr>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Dimension</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Clio</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Lexis+AI</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Forlex</w:t>
            </w:r>
          </w:p>
        </w:tc>
        <w:tc>
          <w:tcPr>
            <w:tcW w:type="dxa" w:w="2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LexiBel (target)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System core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Relational DB</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Document DB</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Accounting DB</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Knowledge Graph</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AI approach</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Admin copilot</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Research assistant</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Summarizer</w:t>
            </w:r>
          </w:p>
        </w:tc>
        <w:tc>
          <w:tcPr>
            <w:tcW w:type="dxa" w:w="2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Autonomous agent + analytics</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Personalization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Low (generic)</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High (Multi-LoRA per firm)</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Facts + Law fusion</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Partial</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Law only</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2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Native Case Brain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Belgian compliance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None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Complete</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Complete + AI-native</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Professional secrecy</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Disclaimers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N/A</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Basic</w:t>
            </w:r>
          </w:p>
        </w:tc>
        <w:tc>
          <w:tcPr>
            <w:tcW w:type="dxa" w:w="2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Privilege Guard NLP</w:t>
            </w:r>
          </w:p>
        </w:tc>
      </w:tr>
    </w:tbl>
    <w:p>
      <w:r>
        <w:br w:type="page"/>
      </w:r>
    </w:p>
    <w:p>
      <w:pPr>
        <w:pStyle w:val="Heading1"/>
      </w:pPr>
      <w:r>
        <w:t xml:space="preserve">3. Product Principles (Non-Negotiable)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4106"/>
      </w:tblGrid>
      <w:tr>
        <w:tc>
          <w:tcPr>
            <w:tcW w:type="dxa" w:w="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3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c>
          <w:tcPr>
            <w:tcW w:type="dxa" w:w="41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Compliance Test</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P1</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Professional Secrecy by Design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PostgreSQL RLS, Qdrant namespaces, S3 IAM, AES-256, Privilege Guard BERT</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Quarterly PenTest: 0 cross-tenant leaks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P2</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Event-Sourced Timeline</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Append-only InteractionEvent, EvidenceLink SHA-256, no UPDATE/DELETE</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100% actions logged, soft-delete only</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P3</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No Source, No Claim</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LLM Gateway enforces citation_coverage &gt; threshold, refuses if insufficient</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0% unsourced AI responses</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P4</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Human-in-the-Loop</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InboxItem DRAFT/VALIDATED/REFUSED, auto-attach only if confidence &gt; threshold</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 event without validation trace</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Strict Multi-Tenant Isolation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Pool (RLS) default, Silo option, BYOK per tenant</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Cross-tenant tests in every CI pipeline</w:t>
            </w:r>
          </w:p>
        </w:tc>
      </w:tr>
      <w:tr>
        <w:tc>
          <w:tcPr>
            <w:tcW w:type="dxa" w:w="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P6</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Idempotence Everywhere</w:t>
            </w:r>
          </w:p>
        </w:tc>
        <w:tc>
          <w:tcPr>
            <w:tcW w:type="dxa" w:w="3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Idempotency key on webhooks/imports, deduplication</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2x replay = 0 duplicates</w:t>
            </w:r>
          </w:p>
        </w:tc>
      </w:tr>
      <w:tr>
        <w:tc>
          <w:tcPr>
            <w:tcW w:type="dxa" w:w="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P7</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Peppol-Ready Natively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UBL 2.1 / BIS Billing 3.0 from MVP, certified AP</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Schema validation in CI</w:t>
            </w:r>
          </w:p>
        </w:tc>
      </w:tr>
    </w:tbl>
    <w:p>
      <w:r>
        <w:br w:type="page"/>
      </w:r>
    </w:p>
    <w:p>
      <w:pPr>
        <w:pStyle w:val="Heading1"/>
      </w:pPr>
      <w:r>
        <w:t xml:space="preserve">4. Functional Requirements</w:t>
      </w:r>
    </w:p>
    <w:p>
      <w:pPr>
        <w:pStyle w:val="Heading2"/>
      </w:pPr>
      <w:r>
        <w:t xml:space="preserve">4.1 Module A: Intelligent Case Management</w:t>
      </w:r>
    </w:p>
    <w:p>
      <w:pPr>
        <w:pStyle w:val="Heading3"/>
      </w:pPr>
      <w:r>
        <w:t xml:space="preserve">4.1.1 Case CRUD &amp; Lifecycle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700"/>
        <w:gridCol w:w="42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7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42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Case creation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Reference, title, matter type, jurisdiction, responsible attorney, parties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Created + conflict check triggered</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Lifecycle states</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Configurable state machine per matter type</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Transitions logged in timeline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Court reference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Link to tribunal dossier number</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Searchable</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Team assignment</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Multiple attorneys with roles</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RBAC enforced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Matter types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Configurable per tenant</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Admin can create/edit/disable</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Custom fields</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JSONB metadata per matter type</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Phase 2</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Admin defines, displayed in detail</w:t>
            </w:r>
          </w:p>
        </w:tc>
      </w:tr>
    </w:tbl>
    <w:p>
      <w:pPr>
        <w:pStyle w:val="Heading3"/>
      </w:pPr>
      <w:r>
        <w:t xml:space="preserve">4.1.2 Timeline (Event-Sourced)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700"/>
        <w:gridCol w:w="42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7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42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Unified timeline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Chronological view of ALL interactions from ALL sources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Filterable by type, date, participant</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Immutability</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Events are append-only, modifications create new events</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 UPDATE on interaction_events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Evidence linking</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Each event linked to source files (SHA-256 hashed)</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Provenance chain traceable</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Multi-source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OUTLOOK, RINGOVER, PLAUD, DPA, MANUAL sources</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Source badge displayed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AI summary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Optional AI summary per event with citations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Never hallucinated</w:t>
            </w:r>
          </w:p>
        </w:tc>
      </w:tr>
    </w:tbl>
    <w:p>
      <w:pPr>
        <w:pStyle w:val="Heading3"/>
      </w:pPr>
      <w:r>
        <w:t xml:space="preserve">4.1.3 Contacts &amp; Conflict Check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700"/>
        <w:gridCol w:w="42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7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42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Contact management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Natural + legal persons, BCE, national register (encrypted)</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PII encryption at rest</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E.164 matching</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Phone numbers for Ringover matching</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Match &lt; 100ms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Conflict check</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Cross-reference parties against all active cases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Alert at creation, logged</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GDPR compliance</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Consent tracking, retention deadline, erasure workflow</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Anonymizes, preserves audit</w:t>
            </w:r>
          </w:p>
        </w:tc>
      </w:tr>
    </w:tbl>
    <w:p>
      <w:pPr>
        <w:pStyle w:val="Heading3"/>
      </w:pPr>
      <w:r>
        <w:t xml:space="preserve">4.1.4 Document Management (GED)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700"/>
        <w:gridCol w:w="42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7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42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Upload &amp; hash</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S3 storage, SHA-256 hash, path /tenant_id/case_id/</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Integrity verifiable</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Version control</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Versioning with diff</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Previous versions accessible</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Full-text search</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OCR (Tesseract) + PostgreSQL FTS + vector search</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Finds text inside PDFs</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PDF stamping</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Automated exhibit numbering for Belgian procedure</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Phase 2</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Batch stamping</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Templates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TipTap rich text with merge fields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Auto-populated from case data</w:t>
            </w:r>
          </w:p>
        </w:tc>
      </w:tr>
    </w:tbl>
    <w:p>
      <w:r>
        <w:br w:type="page"/>
      </w:r>
    </w:p>
    <w:p>
      <w:pPr>
        <w:pStyle w:val="Heading2"/>
      </w:pPr>
      <w:r>
        <w:t xml:space="preserve">4.2 Module B: Billing &amp; Belgian Financial Standards</w:t>
      </w:r>
    </w:p>
    <w:p>
      <w:pPr>
        <w:pStyle w:val="Heading3"/>
      </w:pPr>
      <w:r>
        <w:t xml:space="preserve">4.2.1 Time Tracking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700"/>
        <w:gridCol w:w="42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7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42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Manual entry</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Date, case, activity, duration, description, rate</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Validation per tenant config</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Timer</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Start/stop, auto-associates to case</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Resumable, background</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Rounding rules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6min / 10min / 15min / none (configurable)</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Raw + rounded both stored</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Auto-capture Ringover</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Call duration creates draft TimeEntry</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Source = ringover_auto</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Auto-capture Plaud</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Meeting duration creates draft TimeEntry</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Source = plaud_auto</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Passive chronometry</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Email drafting time suggested as billable</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Phase 2</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1-click accept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Approval workflow</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Draft &gt; Submitted &gt; Approved &gt; Invoiced</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Role-based permissions</w:t>
            </w:r>
          </w:p>
        </w:tc>
      </w:tr>
    </w:tbl>
    <w:p>
      <w:pPr>
        <w:pStyle w:val="Heading3"/>
      </w:pPr>
      <w:r>
        <w:t xml:space="preserve">4.2.2 Invoicing &amp; Peppol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700"/>
        <w:gridCol w:w="42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7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42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Valorisation engine</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Hourly, flat fee, success fee, provision deduction, expenses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Forlex-parity logic</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Invoice generation</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From approved entries, VAT calc (21%, 0% intracom)</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Correct totals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Peppol UBL 2.1</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BIS Billing 3.0, Belgian extensions</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Schema validated in CI</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Access Point</w:t>
            </w:r>
          </w:p>
        </w:tc>
        <w:tc>
          <w:tcPr>
            <w:tcW w:type="dxa" w:w="3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Send via certified AP, receive acknowledgment</w:t>
            </w:r>
          </w:p>
        </w:tc>
        <w:tc>
          <w:tcPr>
            <w:tcW w:type="dxa" w:w="7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End-to-end flow</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Third-party account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Append-only ledger, OBFG/OVB compliant</w:t>
            </w:r>
          </w:p>
        </w:tc>
        <w:tc>
          <w:tcPr>
            <w:tcW w:type="dxa" w:w="7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c>
          <w:tcPr>
            <w:tcW w:type="dxa" w:w="42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INSERT only, inverse corrections</w:t>
            </w:r>
          </w:p>
        </w:tc>
      </w:tr>
    </w:tbl>
    <w:p>
      <w:r>
        <w:br w:type="page"/>
      </w:r>
    </w:p>
    <w:p>
      <w:pPr>
        <w:pStyle w:val="Heading2"/>
      </w:pPr>
      <w:r>
        <w:t xml:space="preserve">4.3 Module C: Communications &amp; Integrations</w:t>
      </w:r>
    </w:p>
    <w:p>
      <w:pPr>
        <w:pStyle w:val="Heading3"/>
      </w:pPr>
      <w:r>
        <w:t xml:space="preserve">4.3.1 Ringover (Phone Intelligence)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9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Webhook reception</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HMAC verification, idempotency_key deduplication</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Caller ID</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E.164 lookup, multi-signal matching to case</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Inbox creation</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InboxItem with Top-3 suggestions if confidence &lt; threshold</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Auto-attach</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Auto InteractionEvent + TimeEntry if confidence &gt; threshold</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Recording consent</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Default OFF, tenant-configurable, consent journal</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Empower transcription</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Retrieve transcript/summary via API</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Backfill API</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Recover missed webhooks from /v2/calls</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bl>
    <w:p>
      <w:pPr>
        <w:pStyle w:val="Heading3"/>
      </w:pPr>
      <w:r>
        <w:t xml:space="preserve">4.3.2 Plaud.ai (Voice Intelligence)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9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Webhook reception</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HMAC SHA-256 via Plaud-Signature header</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Workflow pull</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GET /workflows/{id}/result (transcript, speakers, metadata)</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AI transformation</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Raw transcript to structured document (DRAFT mode only)</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Case matching</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Multi-signal matching, InboxItem with Top-3</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Human validation</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Mandatory before publication</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Audio storage</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Encrypted, access-controlled, configurable retention</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r>
    </w:tbl>
    <w:p>
      <w:pPr>
        <w:pStyle w:val="Heading3"/>
      </w:pPr>
      <w:r>
        <w:t xml:space="preserve">4.3.3 DPA (Digital Platform for Attorneys)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9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Platform</w:t>
            </w:r>
          </w:p>
        </w:tc>
        <w:tc>
          <w:tcPr>
            <w:tcW w:type="dxa" w:w="5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2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e-Deposit</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File conclusions/exhibits to court, acknowledgment in timeline</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JBox</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Secure court/colleague mail, auto InboxItem, EvidenceLink</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RegSol</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Insolvency registry, document import, notifications</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Salduzweb</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Criminal hearing missions, pre-fill timesheet</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Phase 2</w:t>
            </w:r>
          </w:p>
        </w:tc>
      </w:tr>
    </w:tbl>
    <w:p>
      <w:pPr>
        <w:pStyle w:val="Heading3"/>
      </w:pPr>
      <w:r>
        <w:t xml:space="preserve">4.3.4 Outlook / Exchange (Microsoft Graph)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9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5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Email sync</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Read + send via Microsoft Graph API</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Predictive filing</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AI suggests case for incoming email</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Auto-naming</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YYYY-MM-DD_Type_Sender.pdf convention</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Passive chronometry</w:t>
            </w:r>
          </w:p>
        </w:tc>
        <w:tc>
          <w:tcPr>
            <w:tcW w:type="dxa" w:w="5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Email drafting time as billable suggestion</w:t>
            </w:r>
          </w:p>
        </w:tc>
        <w:tc>
          <w:tcPr>
            <w:tcW w:type="dxa" w:w="2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Calendar sync</w:t>
            </w:r>
          </w:p>
        </w:tc>
        <w:tc>
          <w:tcPr>
            <w:tcW w:type="dxa" w:w="5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Bi-directional with Outlook</w:t>
            </w:r>
          </w:p>
        </w:tc>
        <w:tc>
          <w:tcPr>
            <w:tcW w:type="dxa" w:w="2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r>
    </w:tbl>
    <w:p>
      <w:r>
        <w:br w:type="page"/>
      </w:r>
    </w:p>
    <w:p>
      <w:pPr>
        <w:pStyle w:val="Heading1"/>
      </w:pPr>
      <w:r>
        <w:t xml:space="preserve">5. AI/ML Innovations</w:t>
      </w:r>
    </w:p>
    <w:p>
      <w:pPr>
        <w:pStyle w:val="Heading2"/>
      </w:pPr>
      <w:r>
        <w:t xml:space="preserve">5.1 Legal GraphRAG (Hybrid Legal Reasoning)</w:t>
      </w:r>
    </w:p>
    <w:p>
      <w:pPr>
        <w:spacing w:after="140" w:line="276"/>
        <w:jc w:val="both"/>
      </w:pPr>
      <w:r>
        <w:t xml:space="preserve">Standard RAG fails on multi-hop legal questions. Example: 'What is the impact of Amendment #3 (Exhibit 12) on the non-compete clause in the original contract (Exhibit 1), considering recent case law on excessive duration?' Vector search finds documents but cannot chain them logically.</w:t>
      </w:r>
    </w:p>
    <w:p>
      <w:pPr>
        <w:spacing w:after="140" w:line="276"/>
        <w:jc w:val="both"/>
      </w:pPr>
      <w:r>
        <w:t xml:space="preserve">LexiBel builds a dynamic Knowledge Graph (Neo4j) per case with 9 node types (Person, Company, Statute, CaseLaw, Evidence, Event, Deadline, MoneyAmount, ContractClause) and 7 edge types (CITES, CONTRADICTS, PROVES, SIGNED_BY, MODIFIES, SCHEDULED_FOR, INVOLVED_IN). The query flow combines vector search (Top-K from Qdrant), graph expansion (2-hop traversal), cross-encoder re-ranking, and cited generation with No Source No Claim enforcement.</w:t>
      </w:r>
    </w:p>
    <w:p>
      <w:pPr>
        <w:pStyle w:val="Heading3"/>
      </w:pPr>
      <w:r>
        <w:t xml:space="preserve">Extraction Pipeline</w:t>
      </w:r>
    </w:p>
    <w:p>
      <w:pPr>
        <w:pStyle w:val="ListParagraph"/>
        <w:numPr>
          <w:ilvl w:val="0"/>
          <w:numId w:val="3"/>
        </w:numPr>
        <w:spacing w:after="60" w:line="276"/>
      </w:pPr>
      <w:r>
        <w:rPr>
          <w:b/>
          <w:bCs/>
        </w:rPr>
        <w:t xml:space="preserve">NER: </w:t>
      </w:r>
      <w:r>
        <w:t xml:space="preserve">SpaCy fine-tuned on Belgian legal corpus.</w:t>
      </w:r>
    </w:p>
    <w:p>
      <w:pPr>
        <w:pStyle w:val="ListParagraph"/>
        <w:numPr>
          <w:ilvl w:val="0"/>
          <w:numId w:val="3"/>
        </w:numPr>
        <w:spacing w:after="60" w:line="276"/>
      </w:pPr>
      <w:r>
        <w:rPr>
          <w:b/>
          <w:bCs/>
        </w:rPr>
        <w:t xml:space="preserve">Relation extraction: </w:t>
      </w:r>
      <w:r>
        <w:t xml:space="preserve">LLM with structured JSON output.</w:t>
      </w:r>
    </w:p>
    <w:p>
      <w:pPr>
        <w:pStyle w:val="ListParagraph"/>
        <w:numPr>
          <w:ilvl w:val="0"/>
          <w:numId w:val="3"/>
        </w:numPr>
        <w:spacing w:after="60" w:line="276"/>
      </w:pPr>
      <w:r>
        <w:rPr>
          <w:b/>
          <w:bCs/>
        </w:rPr>
        <w:t xml:space="preserve">Confidence gating: </w:t>
      </w:r>
      <w:r>
        <w:t xml:space="preserve">Threshold 0.75 (configurable). Below: draft mode for human validation.</w:t>
      </w:r>
    </w:p>
    <w:p>
      <w:pPr>
        <w:pStyle w:val="ListParagraph"/>
        <w:numPr>
          <w:ilvl w:val="0"/>
          <w:numId w:val="3"/>
        </w:numPr>
        <w:spacing w:after="60" w:line="276"/>
      </w:pPr>
      <w:r>
        <w:rPr>
          <w:b/>
          <w:bCs/>
        </w:rPr>
        <w:t xml:space="preserve">Incremental: </w:t>
      </w:r>
      <w:r>
        <w:t xml:space="preserve">Only new InteractionEvent content triggers pipeline.</w:t>
      </w:r>
    </w:p>
    <w:p>
      <w:pPr>
        <w:pStyle w:val="Heading2"/>
      </w:pPr>
      <w:r>
        <w:t xml:space="preserve">5.2 Multi-LoRA (Per-Firm Style Personalization)</w:t>
      </w:r>
    </w:p>
    <w:p>
      <w:pPr>
        <w:spacing w:after="140" w:line="276"/>
        <w:jc w:val="both"/>
      </w:pPr>
      <w:r>
        <w:t xml:space="preserve">Single foundation model (Mistral Large) via vLLM. Per-firm LoRA adapters (2-50 MB, rank 16-64) trained on past writings. Dynamic loading at inference with &lt; 50ms overhead. Training data strictly partitioned by tenant_id.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7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Foundation</w:t>
            </w:r>
          </w:p>
        </w:tc>
        <w:tc>
          <w:tcPr>
            <w:tcW w:type="dxa" w:w="7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Mistral Large (frozen, shared)</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Adapter size</w:t>
            </w:r>
          </w:p>
        </w:tc>
        <w:tc>
          <w:tcPr>
            <w:tcW w:type="dxa" w:w="7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2-50 MB per firm</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Serving</w:t>
            </w:r>
          </w:p>
        </w:tc>
        <w:tc>
          <w:tcPr>
            <w:tcW w:type="dxa" w:w="7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vLLM dynamic loading</w:t>
            </w:r>
          </w:p>
        </w:tc>
      </w:tr>
      <w:tr>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Isolation</w:t>
            </w:r>
          </w:p>
        </w:tc>
        <w:tc>
          <w:tcPr>
            <w:tcW w:type="dxa" w:w="7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Zero cross-tenant access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Retraining</w:t>
            </w:r>
          </w:p>
        </w:tc>
        <w:tc>
          <w:tcPr>
            <w:tcW w:type="dxa" w:w="7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Incremental via Learning Ledger corrections</w:t>
            </w:r>
          </w:p>
        </w:tc>
      </w:tr>
    </w:tbl>
    <w:p>
      <w:pPr>
        <w:pStyle w:val="Heading2"/>
      </w:pPr>
      <w:r>
        <w:t xml:space="preserve">5.3 Autonomous Due Diligence Agents</w:t>
      </w:r>
    </w:p>
    <w:p>
      <w:pPr>
        <w:spacing w:after="140" w:line="276"/>
        <w:jc w:val="both"/>
      </w:pPr>
      <w:r>
        <w:t xml:space="preserve">Multi-agent system (LangGraph) for M&amp;A data room review: Explorer (file tree), Reader (classify), Analyst (extract clauses, detect anomalies), Synthesizer (compile report with citations). Human-in-the-Loop on ambiguity. Audit log traces every decision.</w:t>
      </w:r>
    </w:p>
    <w:p>
      <w:pPr>
        <w:pStyle w:val="Heading2"/>
      </w:pPr>
      <w:r>
        <w:t xml:space="preserve">5.4 Emotional Radar (Client Retention)</w:t>
      </w:r>
    </w:p>
    <w:p>
      <w:pPr>
        <w:spacing w:after="140" w:line="276"/>
        <w:jc w:val="both"/>
      </w:pPr>
      <w:r>
        <w:t xml:space="preserve">NLP on client communications: real-time Stress Score and Urgency Score, tone shift detection, alert to responsible partner, To-Do List sortable by Relational Risk.</w:t>
      </w:r>
    </w:p>
    <w:p>
      <w:pPr>
        <w:pStyle w:val="Heading2"/>
      </w:pPr>
      <w:r>
        <w:t xml:space="preserve">5.5 Privilege Guard (Professional Secrecy Shield)</w:t>
      </w:r>
    </w:p>
    <w:p>
      <w:pPr>
        <w:spacing w:after="140" w:line="276"/>
        <w:jc w:val="both"/>
      </w:pPr>
      <w:r>
        <w:t xml:space="preserve">BERT fine-tuned on Belgian legal corpora. Semantic firewall before any LLM transmission. Detects privileged documents by context (not just keyword), PII classification with auto-pseudonymization, tenant-configurable policies, every redaction logged.</w:t>
      </w:r>
    </w:p>
    <w:p>
      <w:pPr>
        <w:pStyle w:val="Heading2"/>
      </w:pPr>
      <w:r>
        <w:t xml:space="preserve">5.6 ML Models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600"/>
        <w:gridCol w:w="2506"/>
      </w:tblGrid>
      <w:tr>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w:t>
            </w:r>
          </w:p>
        </w:tc>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Baseline</w:t>
            </w:r>
          </w:p>
        </w:tc>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Advanced</w:t>
            </w:r>
          </w:p>
        </w:tc>
        <w:tc>
          <w:tcPr>
            <w:tcW w:type="dxa" w:w="2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Matter Linkage Ranker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Learning-to-Rank</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Weighted heuristics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XGBoost &gt; neural</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nDCG@3 &gt; 0.8</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Email Triage Classifier</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Multi-class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Keywords + sentiment</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BERT fine-tuned</w:t>
            </w:r>
          </w:p>
        </w:tc>
        <w:tc>
          <w:tcPr>
            <w:tcW w:type="dxa" w:w="2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F1 &gt; 0.85</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Deadline Extractor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Sequence labeling</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Regex + rules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NER + LLM</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Recall &gt; 95%</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Billing Anomaly</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Anomaly detection</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Stats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Isolation Forest</w:t>
            </w:r>
          </w:p>
        </w:tc>
        <w:tc>
          <w:tcPr>
            <w:tcW w:type="dxa" w:w="2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Precision &gt; 90%</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Draft Style Adapter</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Style transfer</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Templates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LoRA per firm</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Human eval &gt; 4/5</w:t>
            </w:r>
          </w:p>
        </w:tc>
      </w:tr>
      <w:tr>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Document Classifier</w:t>
            </w:r>
          </w:p>
        </w:tc>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Multi-class</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Rules</w:t>
            </w:r>
          </w:p>
        </w:tc>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BERT fine-tuned</w:t>
            </w:r>
          </w:p>
        </w:tc>
        <w:tc>
          <w:tcPr>
            <w:tcW w:type="dxa" w:w="2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Accuracy &gt; 90%</w:t>
            </w:r>
          </w:p>
        </w:tc>
      </w:tr>
    </w:tbl>
    <w:p>
      <w:pPr>
        <w:pStyle w:val="Heading2"/>
      </w:pPr>
      <w:r>
        <w:t xml:space="preserve">5.7 Cold Start (Boot AI)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5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4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Approach</w:t>
            </w:r>
          </w:p>
        </w:tc>
        <w:tc>
          <w:tcPr>
            <w:tcW w:type="dxa" w:w="3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Heuristics</w:t>
            </w:r>
          </w:p>
        </w:tc>
        <w:tc>
          <w:tcPr>
            <w:tcW w:type="dxa" w:w="4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Deterministic rules (known number, email, reference, recent case)</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Day 1</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Weak supervision</w:t>
            </w:r>
          </w:p>
        </w:tc>
        <w:tc>
          <w:tcPr>
            <w:tcW w:type="dxa" w:w="4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User corrections generate labels (Inbox validate/refuse)</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Continuous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Supervised ML</w:t>
            </w:r>
          </w:p>
        </w:tc>
        <w:tc>
          <w:tcPr>
            <w:tcW w:type="dxa" w:w="4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Trained when label volume sufficient</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&gt; 500 labels</w:t>
            </w:r>
          </w:p>
        </w:tc>
      </w:tr>
    </w:tbl>
    <w:p>
      <w:r>
        <w:br w:type="page"/>
      </w:r>
    </w:p>
    <w:p>
      <w:pPr>
        <w:pStyle w:val="Heading1"/>
      </w:pPr>
      <w:r>
        <w:t xml:space="preserve">6. Technical Architecture (Summary)</w:t>
      </w:r>
    </w:p>
    <w:p>
      <w:pPr>
        <w:spacing w:after="140" w:line="276"/>
        <w:jc w:val="both"/>
      </w:pPr>
      <w:r>
        <w:t xml:space="preserve">Full details in companion document LXB-ARCH-002.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79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79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L1 Frontend</w:t>
            </w:r>
          </w:p>
        </w:tc>
        <w:tc>
          <w:tcPr>
            <w:tcW w:type="dxa" w:w="7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Next.js 14, Shadcn UI, TailwindCSS, Zustand, TipTap, React Flow</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L2 Backend</w:t>
            </w:r>
          </w:p>
        </w:tc>
        <w:tc>
          <w:tcPr>
            <w:tcW w:type="dxa" w:w="7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FastAPI (Python 3.11), SQLAlchemy 2.0 async, Pydantic v2</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L3 Workers</w:t>
            </w:r>
          </w:p>
        </w:tc>
        <w:tc>
          <w:tcPr>
            <w:tcW w:type="dxa" w:w="7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Celery + Redis, Flower</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L4 Data</w:t>
            </w:r>
          </w:p>
        </w:tc>
        <w:tc>
          <w:tcPr>
            <w:tcW w:type="dxa" w:w="7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PostgreSQL 16 (RLS), Qdrant, Neo4j, MinIO/S3, Redis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L5 LLM Gateway</w:t>
            </w:r>
          </w:p>
        </w:tc>
        <w:tc>
          <w:tcPr>
            <w:tcW w:type="dxa" w:w="79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vLLM (Multi-LoRA), Azure OpenAI (Zero Retention), LangGraph</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L6 Infra</w:t>
            </w:r>
          </w:p>
        </w:tc>
        <w:tc>
          <w:tcPr>
            <w:tcW w:type="dxa" w:w="79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Kubernetes, Scaleway/OVHcloud (EU), GitHub Actions, Grafana/Prometheus/Loki</w:t>
            </w:r>
          </w:p>
        </w:tc>
      </w:tr>
    </w:tbl>
    <w:p>
      <w:pPr>
        <w:pStyle w:val="Heading2"/>
      </w:pPr>
      <w:r>
        <w:t xml:space="preserve">6.1 Multi-Tenant Isolation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4006"/>
      </w:tblGrid>
      <w:tr>
        <w:tc>
          <w:tcPr>
            <w:tcW w:type="dxa" w:w="16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Aspect</w:t>
            </w:r>
          </w:p>
        </w:tc>
        <w:tc>
          <w:tcPr>
            <w:tcW w:type="dxa" w:w="39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Pool (default)</w:t>
            </w:r>
          </w:p>
        </w:tc>
        <w:tc>
          <w:tcPr>
            <w:tcW w:type="dxa" w:w="40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Silo (large firms)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PostgreSQL</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Shared + RLS</w:t>
            </w:r>
          </w:p>
        </w:tc>
        <w:tc>
          <w:tcPr>
            <w:tcW w:type="dxa" w:w="4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Dedicated DB</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Qdrant</w:t>
            </w:r>
          </w:p>
        </w:tc>
        <w:tc>
          <w:tcPr>
            <w:tcW w:type="dxa" w:w="3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Shared, payload filter</w:t>
            </w:r>
          </w:p>
        </w:tc>
        <w:tc>
          <w:tcPr>
            <w:tcW w:type="dxa" w:w="40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Dedicated collection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Neo4j</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Labeled subgraphs</w:t>
            </w:r>
          </w:p>
        </w:tc>
        <w:tc>
          <w:tcPr>
            <w:tcW w:type="dxa" w:w="4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Dedicated instance</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S3</w:t>
            </w:r>
          </w:p>
        </w:tc>
        <w:tc>
          <w:tcPr>
            <w:tcW w:type="dxa" w:w="3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Prefix /tenant_id/</w:t>
            </w:r>
          </w:p>
        </w:tc>
        <w:tc>
          <w:tcPr>
            <w:tcW w:type="dxa" w:w="40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Dedicated bucket</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Encryption</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AES-256 + pgcrypto</w:t>
            </w:r>
          </w:p>
        </w:tc>
        <w:tc>
          <w:tcPr>
            <w:tcW w:type="dxa" w:w="40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BYOK dedicated key</w:t>
            </w:r>
          </w:p>
        </w:tc>
      </w:tr>
      <w:tr>
        <w:tc>
          <w:tcPr>
            <w:tcW w:type="dxa" w:w="16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Cost</w:t>
            </w:r>
          </w:p>
        </w:tc>
        <w:tc>
          <w:tcPr>
            <w:tcW w:type="dxa" w:w="3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1x</w:t>
            </w:r>
          </w:p>
        </w:tc>
        <w:tc>
          <w:tcPr>
            <w:tcW w:type="dxa" w:w="40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3-5x</w:t>
            </w:r>
          </w:p>
        </w:tc>
      </w:tr>
    </w:tbl>
    <w:p>
      <w:pPr>
        <w:pStyle w:val="Heading2"/>
      </w:pPr>
      <w:r>
        <w:t xml:space="preserve">6.2 Security Highlights</w:t>
      </w:r>
    </w:p>
    <w:p>
      <w:pPr>
        <w:pStyle w:val="ListParagraph"/>
        <w:numPr>
          <w:ilvl w:val="0"/>
          <w:numId w:val="4"/>
        </w:numPr>
        <w:spacing w:after="60" w:line="276"/>
      </w:pPr>
      <w:r>
        <w:rPr>
          <w:b/>
          <w:bCs/>
        </w:rPr>
        <w:t xml:space="preserve">Encryption: </w:t>
      </w:r>
      <w:r>
        <w:t xml:space="preserve">TLS 1.3 transit, AES-256 rest, pgcrypto PII, BYOK via HSM/KMS. Crypto-shredding on key revocation.</w:t>
      </w:r>
    </w:p>
    <w:p>
      <w:pPr>
        <w:pStyle w:val="ListParagraph"/>
        <w:numPr>
          <w:ilvl w:val="0"/>
          <w:numId w:val="4"/>
        </w:numPr>
        <w:spacing w:after="60" w:line="276"/>
      </w:pPr>
      <w:r>
        <w:rPr>
          <w:b/>
          <w:bCs/>
        </w:rPr>
        <w:t xml:space="preserve">Auth: </w:t>
      </w:r>
      <w:r>
        <w:t xml:space="preserve">OIDC/SAML + MFA (TOTP, roadmap: itsme/eID).</w:t>
      </w:r>
    </w:p>
    <w:p>
      <w:pPr>
        <w:pStyle w:val="ListParagraph"/>
        <w:numPr>
          <w:ilvl w:val="0"/>
          <w:numId w:val="4"/>
        </w:numPr>
        <w:spacing w:after="60" w:line="276"/>
      </w:pPr>
      <w:r>
        <w:rPr>
          <w:b/>
          <w:bCs/>
        </w:rPr>
        <w:t xml:space="preserve">RBAC: </w:t>
      </w:r>
      <w:r>
        <w:t xml:space="preserve">7 roles (Partner, Associate, Junior, Secretary, Accountant, Admin, Super-admin).</w:t>
      </w:r>
    </w:p>
    <w:p>
      <w:pPr>
        <w:pStyle w:val="ListParagraph"/>
        <w:numPr>
          <w:ilvl w:val="0"/>
          <w:numId w:val="4"/>
        </w:numPr>
        <w:spacing w:after="60" w:line="276"/>
      </w:pPr>
      <w:r>
        <w:rPr>
          <w:b/>
          <w:bCs/>
        </w:rPr>
        <w:t xml:space="preserve">Audit: </w:t>
      </w:r>
      <w:r>
        <w:t xml:space="preserve">Append-only audit_logs (INSERT only). Covers 100% significant actions.</w:t>
      </w:r>
    </w:p>
    <w:p>
      <w:pPr>
        <w:pStyle w:val="ListParagraph"/>
        <w:numPr>
          <w:ilvl w:val="0"/>
          <w:numId w:val="4"/>
        </w:numPr>
        <w:spacing w:after="60" w:line="276"/>
      </w:pPr>
      <w:r>
        <w:rPr>
          <w:b/>
          <w:bCs/>
        </w:rPr>
        <w:t xml:space="preserve">LLM Security: </w:t>
      </w:r>
      <w:r>
        <w:t xml:space="preserve">PII redaction, anti-prompt injection, Zero Retention, citation enforcement, full logging.</w:t>
      </w:r>
    </w:p>
    <w:p>
      <w:r>
        <w:br w:type="page"/>
      </w:r>
    </w:p>
    <w:p>
      <w:pPr>
        <w:pStyle w:val="Heading1"/>
      </w:pPr>
      <w:r>
        <w:t xml:space="preserve">7. Regulatory Compliance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306"/>
      </w:tblGrid>
      <w:tr>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Regulation</w:t>
            </w:r>
          </w:p>
        </w:tc>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Scope</w:t>
            </w:r>
          </w:p>
        </w:tc>
        <w:tc>
          <w:tcPr>
            <w:tcW w:type="dxa" w:w="53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LexiBel Measures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Art. 458 Belgian Penal Code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Criminal sanction for privilege breach</w:t>
            </w:r>
          </w:p>
        </w:tc>
        <w:tc>
          <w:tcPr>
            <w:tcW w:type="dxa" w:w="5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Isolation, encryption, Privilege Guard, pseudonymization, BYOK, audit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OVB AI Guidelines (2024)</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Attorney responsibility, verification, closed system</w:t>
            </w:r>
          </w:p>
        </w:tc>
        <w:tc>
          <w:tcPr>
            <w:tcW w:type="dxa" w:w="5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Human-in-the-Loop, citations, Privilege Guard, Zero Retention, EU cloud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GDPR (EU 2016/679)</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Personal data processing</w:t>
            </w:r>
          </w:p>
        </w:tc>
        <w:tc>
          <w:tcPr>
            <w:tcW w:type="dxa" w:w="5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Access/rectification/erasure/portability, DPIA, retention config</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Peppol B2B (01/01/2026)</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Mandatory structured e-invoicing</w:t>
            </w:r>
          </w:p>
        </w:tc>
        <w:tc>
          <w:tcPr>
            <w:tcW w:type="dxa" w:w="5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Native UBL 2.1 / BIS Billing 3.0, certified AP</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DORA (EU 2022/2554)</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Digital operational resilience</w:t>
            </w:r>
          </w:p>
        </w:tc>
        <w:tc>
          <w:tcPr>
            <w:tcW w:type="dxa" w:w="5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PenTest, BCP, incident monitoring</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NIS2 (EU 2022/2555)</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Network and information security</w:t>
            </w:r>
          </w:p>
        </w:tc>
        <w:tc>
          <w:tcPr>
            <w:tcW w:type="dxa" w:w="5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Cyber risk mgmt, incident notification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AI Act (EU 2024/1689)</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AI transparency and control</w:t>
            </w:r>
          </w:p>
        </w:tc>
        <w:tc>
          <w:tcPr>
            <w:tcW w:type="dxa" w:w="53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Model docs, human control, AI audit logs</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eIDAS (EU 910/2014)</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Electronic signatures</w:t>
            </w:r>
          </w:p>
        </w:tc>
        <w:tc>
          <w:tcPr>
            <w:tcW w:type="dxa" w:w="53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Roadmap: qualified e-signature via Belgian eID</w:t>
            </w:r>
          </w:p>
        </w:tc>
      </w:tr>
    </w:tbl>
    <w:p>
      <w:r>
        <w:br w:type="page"/>
      </w:r>
    </w:p>
    <w:p>
      <w:pPr>
        <w:pStyle w:val="Heading1"/>
      </w:pPr>
      <w:r>
        <w:t xml:space="preserve">8. Migration Center (Zero-Loss Promise)</w:t>
      </w:r>
    </w:p>
    <w:p>
      <w:pPr>
        <w:spacing w:after="140" w:line="276"/>
        <w:jc w:val="both"/>
      </w:pPr>
      <w:r>
        <w:rPr>
          <w:b/>
          <w:bCs/>
        </w:rPr>
        <w:t xml:space="preserve">Core Promise: </w:t>
      </w:r>
      <w:r>
        <w:t xml:space="preserve">every imported email becomes a timestamped InteractionEvent; every attachment is hashed, stored, and indexed; every timesheet/invoice is reconstituted. Zero data loss.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506"/>
      </w:tblGrid>
      <w:tr>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3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4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1. Connect</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Source connection (OAuth or file upload)</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Connection metadata</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2. Sample</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Preview 50 rows, field mapping</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MappingConfig JSON</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3. Dry-run</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Full simulation (ROLLBACK tx), anomaly report</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DryRunReport</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4. Import</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Async Celery jobs, progress WebSocket</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ImportBatch</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 Validate</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Reconciliation, financial totals, timestamps</w:t>
            </w:r>
          </w:p>
        </w:tc>
        <w:tc>
          <w:tcPr>
            <w:tcW w:type="dxa" w:w="4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ValidationReport</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6. Seal</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SHA-256 hash + AuditLog entry</w:t>
            </w:r>
          </w:p>
        </w:tc>
        <w:tc>
          <w:tcPr>
            <w:tcW w:type="dxa" w:w="4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HistoricalSeal</w:t>
            </w:r>
          </w:p>
        </w:tc>
      </w:tr>
    </w:tbl>
    <w:p>
      <w:pPr>
        <w:pStyle w:val="Heading2"/>
      </w:pPr>
      <w:r>
        <w:t xml:space="preserve">8.1 Tool-Specific Importers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800"/>
        <w:gridCol w:w="1706"/>
      </w:tblGrid>
      <w:tr>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3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w:t>
            </w:r>
          </w:p>
        </w:tc>
        <w:tc>
          <w:tcPr>
            <w:tcW w:type="dxa" w:w="1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Forlex</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CSV/ZIP + Outlook</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Cases, contacts, emails, docs, timesheets, invoices, valorisations</w:t>
            </w:r>
          </w:p>
        </w:tc>
        <w:tc>
          <w:tcPr>
            <w:tcW w:type="dxa" w:w="1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DPA JBox</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PDF + metadata</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Messages, attachments, acknowledgments</w:t>
            </w:r>
          </w:p>
        </w:tc>
        <w:tc>
          <w:tcPr>
            <w:tcW w:type="dxa" w:w="1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DPA Deposit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PDF + timeline</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Filings, acknowledgments, documents</w:t>
            </w:r>
          </w:p>
        </w:tc>
        <w:tc>
          <w:tcPr>
            <w:tcW w:type="dxa" w:w="1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Outlook</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Microsoft Graph API</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Emails, attachments, calendar</w:t>
            </w:r>
          </w:p>
        </w:tc>
        <w:tc>
          <w:tcPr>
            <w:tcW w:type="dxa" w:w="1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MVP</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Kleos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XML or API</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Cases, docs, contacts, structure</w:t>
            </w:r>
          </w:p>
        </w:tc>
        <w:tc>
          <w:tcPr>
            <w:tcW w:type="dxa" w:w="1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DLex/Cicero</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SQL reading scripts</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Legacy DB, emails, acts, timesheets</w:t>
            </w:r>
          </w:p>
        </w:tc>
        <w:tc>
          <w:tcPr>
            <w:tcW w:type="dxa" w:w="1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RegSol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Import + link</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Insolvency docs, notifications</w:t>
            </w:r>
          </w:p>
        </w:tc>
        <w:tc>
          <w:tcPr>
            <w:tcW w:type="dxa" w:w="1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Phase 2</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Salduzweb</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Mission import</w:t>
            </w:r>
          </w:p>
        </w:tc>
        <w:tc>
          <w:tcPr>
            <w:tcW w:type="dxa" w:w="3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Hearing missions, dates, locations</w:t>
            </w:r>
          </w:p>
        </w:tc>
        <w:tc>
          <w:tcPr>
            <w:tcW w:type="dxa" w:w="1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Phase 2</w:t>
            </w:r>
          </w:p>
        </w:tc>
      </w:tr>
    </w:tbl>
    <w:p>
      <w:r>
        <w:br w:type="page"/>
      </w:r>
    </w:p>
    <w:p>
      <w:pPr>
        <w:pStyle w:val="Heading1"/>
      </w:pPr>
      <w:r>
        <w:t xml:space="preserve">9. Per-Tenant Configuration (Versioned)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706"/>
      </w:tblGrid>
      <w:tr>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Domain</w:t>
            </w:r>
          </w:p>
        </w:tc>
        <w:tc>
          <w:tcPr>
            <w:tcW w:type="dxa" w:w="3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Parameters</w:t>
            </w:r>
          </w:p>
        </w:tc>
        <w:tc>
          <w:tcPr>
            <w:tcW w:type="dxa" w:w="47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Matters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Matter types, lifecycle states, doc types, email categories, GED structure</w:t>
            </w:r>
          </w:p>
        </w:tc>
        <w:tc>
          <w:tcPr>
            <w:tcW w:type="dxa" w:w="4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Family Law, Criminal, M&amp;A</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Billing</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Hourly rates by role, rounding (6/10/15 min), flat fees, invoice layout, Peppol account</w:t>
            </w:r>
          </w:p>
        </w:tc>
        <w:tc>
          <w:tcPr>
            <w:tcW w:type="dxa" w:w="4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Partner 250 EUR/h, 6-min rounding</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Workflows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Approval chains, task templates, escalation rules</w:t>
            </w:r>
          </w:p>
        </w:tc>
        <w:tc>
          <w:tcPr>
            <w:tcW w:type="dxa" w:w="4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Timesheet &gt; Partner &gt; Accountant</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AI</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Enabled surfaces, confidence thresholds, LLM providers, models</w:t>
            </w:r>
          </w:p>
        </w:tc>
        <w:tc>
          <w:tcPr>
            <w:tcW w:type="dxa" w:w="4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Threshold 0.85, Mistral + GPT-4o fallback</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Drafting Style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Tone, conclusion structure, clauses preferred/forbidden, templates</w:t>
            </w:r>
          </w:p>
        </w:tc>
        <w:tc>
          <w:tcPr>
            <w:tcW w:type="dxa" w:w="4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4-part conclusions, formal</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Security</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PII redaction policy, BYOK keys, AI log retention, access restrictions</w:t>
            </w:r>
          </w:p>
        </w:tc>
        <w:tc>
          <w:tcPr>
            <w:tcW w:type="dxa" w:w="4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Redaction always, Azure Key Vault</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Integrations</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Ringover on/off, Plaud on/off, Outlook, DPA, recording default</w:t>
            </w:r>
          </w:p>
        </w:tc>
        <w:tc>
          <w:tcPr>
            <w:tcW w:type="dxa" w:w="47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Ringover ON, recording OFF</w:t>
            </w:r>
          </w:p>
        </w:tc>
      </w:tr>
      <w:tr>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Reporting</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Dashboards, custom KPIs, report frequency, export format</w:t>
            </w:r>
          </w:p>
        </w:tc>
        <w:tc>
          <w:tcPr>
            <w:tcW w:type="dxa" w:w="47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Monthly revenue by matter type</w:t>
            </w:r>
          </w:p>
        </w:tc>
      </w:tr>
    </w:tbl>
    <w:p>
      <w:r>
        <w:br w:type="page"/>
      </w:r>
    </w:p>
    <w:p>
      <w:pPr>
        <w:pStyle w:val="Heading1"/>
      </w:pPr>
      <w:r>
        <w:t xml:space="preserve">10. Pricing Model</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2400"/>
        <w:gridCol w:w="2106"/>
      </w:tblGrid>
      <w:tr>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Plan</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c>
          <w:tcPr>
            <w:tcW w:type="dxa" w:w="1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Price/user/month</w:t>
            </w:r>
          </w:p>
        </w:tc>
        <w:tc>
          <w:tcPr>
            <w:tcW w:type="dxa" w:w="2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Included</w:t>
            </w:r>
          </w:p>
        </w:tc>
        <w:tc>
          <w:tcPr>
            <w:tcW w:type="dxa" w:w="21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Level</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Essential</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Solo (1-3)</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49 EUR</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PMS + DPA + Peppol + 5 GB</w:t>
            </w:r>
          </w:p>
        </w:tc>
        <w:tc>
          <w:tcPr>
            <w:tcW w:type="dxa" w:w="2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Semantic search</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Professional</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SME (3-15)</w:t>
            </w:r>
          </w:p>
        </w:tc>
        <w:tc>
          <w:tcPr>
            <w:tcW w:type="dxa" w:w="1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89 EUR</w:t>
            </w:r>
          </w:p>
        </w:tc>
        <w:tc>
          <w:tcPr>
            <w:tcW w:type="dxa" w:w="2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 Plaud + Ringover + Migration + 25 GB</w:t>
            </w:r>
          </w:p>
        </w:tc>
        <w:tc>
          <w:tcPr>
            <w:tcW w:type="dxa" w:w="2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Case Brain + full RAG</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Enterprise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Mid/Big Law (15+)</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Custom</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 BYOK + SLA + dedicated silo + unlimited</w:t>
            </w:r>
          </w:p>
        </w:tc>
        <w:tc>
          <w:tcPr>
            <w:tcW w:type="dxa" w:w="2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Multi-LoRA + Agents + API</w:t>
            </w:r>
          </w:p>
        </w:tc>
      </w:tr>
    </w:tbl>
    <w:p>
      <w:r>
        <w:br w:type="page"/>
      </w:r>
    </w:p>
    <w:p>
      <w:pPr>
        <w:pStyle w:val="Heading1"/>
      </w:pPr>
      <w:r>
        <w:t xml:space="preserve">11. Product Roadmap (18 Months)</w:t>
      </w:r>
    </w:p>
    <w:p>
      <w:pPr>
        <w:pStyle w:val="Heading2"/>
      </w:pPr>
      <w:r>
        <w:t xml:space="preserve">11.1 Phase 1: Fortress Foundation (Months 0-6)</w:t>
      </w:r>
    </w:p>
    <w:p>
      <w:pPr>
        <w:spacing w:after="140" w:line="276"/>
        <w:jc w:val="both"/>
      </w:pPr>
      <w:r>
        <w:rPr>
          <w:b/>
          <w:bCs/>
        </w:rPr>
        <w:t xml:space="preserve">Objective: </w:t>
      </w:r>
      <w:r>
        <w:t xml:space="preserve">Functional MVP replacing basic practice management for 2 pilot firms.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506"/>
      </w:tblGrid>
      <w:tr>
        <w:tc>
          <w:tcPr>
            <w:tcW w:type="dxa" w:w="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Period</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3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Technical Components</w:t>
            </w:r>
          </w:p>
        </w:tc>
        <w:tc>
          <w:tcPr>
            <w:tcW w:type="dxa" w:w="3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Criteria</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M1-M2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Architecture + Admin</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K8s, PostgreSQL RLS, RBAC 7 roles, tenant provisioning, CI/CD</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Isolation proven, deploy &lt; 10 min</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M3-M4</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Cases + DPA + Contacts</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CRUD case/contact, event timeline, GED, DPA stubs, conflict check</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Timeline functional, conflict check active</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M5-M6</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Billing + Peppol</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Timesheet, valorisation rules, UBL 2.1 invoices, third-party ledger</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Peppol validated, PenTest passed, 2 pilots live</w:t>
            </w:r>
          </w:p>
        </w:tc>
      </w:tr>
    </w:tbl>
    <w:p>
      <w:pPr>
        <w:pStyle w:val="Heading2"/>
      </w:pPr>
      <w:r>
        <w:t xml:space="preserve">11.2 Phase 2: The Brain (Months 6-12)</w:t>
      </w:r>
    </w:p>
    <w:p>
      <w:pPr>
        <w:spacing w:after="140" w:line="276"/>
        <w:jc w:val="both"/>
      </w:pPr>
      <w:r>
        <w:rPr>
          <w:b/>
          <w:bCs/>
        </w:rPr>
        <w:t xml:space="preserve">Objective: </w:t>
      </w:r>
      <w:r>
        <w:t xml:space="preserve">Activate voice/phone integrations, Belgian legal RAG, and Migration Center.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506"/>
      </w:tblGrid>
      <w:tr>
        <w:tc>
          <w:tcPr>
            <w:tcW w:type="dxa" w:w="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Period</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3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Technical Components</w:t>
            </w:r>
          </w:p>
        </w:tc>
        <w:tc>
          <w:tcPr>
            <w:tcW w:type="dxa" w:w="3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Criteria</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M7-M8</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Plaud + Ringover</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Secured webhooks (HMAC), Inbox, multi-signal matching, auto TimeEntry</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99% idempotent, Top-3 suggestions, auto-attach</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M9-M10</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Legal RAG (Belgium)</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Belgian law ingestion, Qdrant search, forced citations</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 Source No Claim, citation coverage &gt; 95%</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M11-M12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Migration + Outlook</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Forlex importer, DPA JBox, Graph API, predictive filing</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5 successful migrations, zero loss verified</w:t>
            </w:r>
          </w:p>
        </w:tc>
      </w:tr>
    </w:tbl>
    <w:p>
      <w:pPr>
        <w:pBdr>
          <w:left w:val="single" w:color="F39C12" w:sz="12" w:space="8"/>
        </w:pBdr>
        <w:spacing w:after="160" w:line="276"/>
        <w:ind w:left="200"/>
      </w:pPr>
      <w:r>
        <w:rPr>
          <w:rFonts w:ascii="Arial" w:cs="Arial" w:eastAsia="Arial" w:hAnsi="Arial"/>
          <w:b/>
          <w:bCs/>
          <w:color w:val="E67E22"/>
          <w:sz w:val="20"/>
          <w:szCs w:val="20"/>
        </w:rPr>
        <w:t xml:space="preserve">Note : </w:t>
      </w:r>
      <w:r>
        <w:rPr>
          <w:rFonts w:ascii="Arial" w:cs="Arial" w:eastAsia="Arial" w:hAnsi="Arial"/>
          <w:color w:val="7F8C8D"/>
          <w:sz w:val="20"/>
          <w:szCs w:val="20"/>
        </w:rPr>
        <w:t xml:space="preserve">ML models deployed: Matter Linkage Ranker (XGBoost), Email Triage Classifier, Deadline Extractor.</w:t>
      </w:r>
    </w:p>
    <w:p>
      <w:pPr>
        <w:pStyle w:val="Heading2"/>
      </w:pPr>
      <w:r>
        <w:t xml:space="preserve">11.3 Phase 3: Personalization &amp; Advanced Intelligence (Months 12-18)</w:t>
      </w:r>
    </w:p>
    <w:p>
      <w:pPr>
        <w:spacing w:after="140" w:line="276"/>
        <w:jc w:val="both"/>
      </w:pPr>
      <w:r>
        <w:rPr>
          <w:b/>
          <w:bCs/>
        </w:rPr>
        <w:t xml:space="preserve">Objective: </w:t>
      </w:r>
      <w:r>
        <w:t xml:space="preserve">Deploy GraphRAG, Multi-LoRA, autonomous agents, commercial launch.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506"/>
      </w:tblGrid>
      <w:tr>
        <w:tc>
          <w:tcPr>
            <w:tcW w:type="dxa" w:w="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Period</w:t>
            </w:r>
          </w:p>
        </w:tc>
        <w:tc>
          <w:tcPr>
            <w:tcW w:type="dxa" w:w="1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34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Technical Components</w:t>
            </w:r>
          </w:p>
        </w:tc>
        <w:tc>
          <w:tcPr>
            <w:tcW w:type="dxa" w:w="3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Criteria</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M13-M14</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GraphRAG + Knowledge Graph</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Neo4j operational, NER pipeline, multi-hop reasoning</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Multi-hop queries functional</w:t>
            </w:r>
          </w:p>
        </w:tc>
      </w:tr>
      <w:tr>
        <w:tc>
          <w:tcPr>
            <w:tcW w:type="dxa" w:w="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M15-M16</w:t>
            </w:r>
          </w:p>
        </w:tc>
        <w:tc>
          <w:tcPr>
            <w:tcW w:type="dxa" w:w="1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Multi-LoRA + Agents</w:t>
            </w:r>
          </w:p>
        </w:tc>
        <w:tc>
          <w:tcPr>
            <w:tcW w:type="dxa" w:w="34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vLLM adapters per firm, DD agents (LangGraph)</w:t>
            </w:r>
          </w:p>
        </w:tc>
        <w:tc>
          <w:tcPr>
            <w:tcW w:type="dxa" w:w="3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Styled drafts validated by 5 attorneys</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M17-M18</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V1.0 + Mobile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RLHF, Emotional Radar, advanced BI, native iOS/Android</w:t>
            </w:r>
          </w:p>
        </w:tc>
        <w:tc>
          <w:tcPr>
            <w:tcW w:type="dxa" w:w="3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20+ firms, NPS &gt; 45, AI adoption &gt; 60%</w:t>
            </w:r>
          </w:p>
        </w:tc>
      </w:tr>
    </w:tbl>
    <w:p>
      <w:r>
        <w:br w:type="page"/>
      </w:r>
    </w:p>
    <w:p>
      <w:pPr>
        <w:pStyle w:val="Heading1"/>
      </w:pPr>
      <w:r>
        <w:t xml:space="preserve">12. Risk Matrix</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406"/>
      </w:tblGrid>
      <w:tr>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Probability</w:t>
            </w:r>
          </w:p>
        </w:tc>
        <w:tc>
          <w:tcPr>
            <w:tcW w:type="dxa" w:w="9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54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Cross-tenant data leak</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Critical</w:t>
            </w:r>
          </w:p>
        </w:tc>
        <w:tc>
          <w:tcPr>
            <w:tcW w:type="dxa" w:w="54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RLS + automated tests + quarterly PenTest</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AI hallucination in legal context</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Critical</w:t>
            </w:r>
          </w:p>
        </w:tc>
        <w:tc>
          <w:tcPr>
            <w:tcW w:type="dxa" w:w="54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No Source No Claim + Privilege Guard + HITL</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Slow adoption (resistance to change)</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54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Zero-loss migration + training + early adopter pricing</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DPA integration delays (platform dependency)</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54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Stubs + PDF fallback + Avocats.be dialogue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Restrictive AI regulation</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54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Compliance-by-design architecture + legal monitoring</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Forlex competitive response with AI</w:t>
            </w:r>
          </w:p>
        </w:tc>
        <w:tc>
          <w:tcPr>
            <w:tcW w:type="dxa" w:w="1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9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54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Tech lead (GraphRAG/LoRA) + execution speed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GPU / AI infrastructure cost</w:t>
            </w:r>
          </w:p>
        </w:tc>
        <w:tc>
          <w:tcPr>
            <w:tcW w:type="dxa" w:w="1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9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54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Shared vLLM, quantization, semantic caching</w:t>
            </w:r>
          </w:p>
        </w:tc>
      </w:tr>
    </w:tbl>
    <w:p>
      <w:r>
        <w:br w:type="page"/>
      </w:r>
    </w:p>
    <w:p>
      <w:pPr>
        <w:pStyle w:val="Heading1"/>
      </w:pPr>
      <w:r>
        <w:t xml:space="preserve">13. Team &amp; Governance</w:t>
      </w:r>
    </w:p>
    <w:p>
      <w:pPr>
        <w:pStyle w:val="Heading2"/>
      </w:pPr>
      <w:r>
        <w:t xml:space="preserve">13.1 Target Team (Phase 1-2)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506"/>
      </w:tblGrid>
      <w:tr>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48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Profile</w:t>
            </w:r>
          </w:p>
        </w:tc>
        <w:tc>
          <w:tcPr>
            <w:tcW w:type="dxa" w:w="25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CTO / Lead Architect</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Senior full-stack, multi-tenant SaaS + AI experience</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Backend Engineer (x2)</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Python/FastAPI, PostgreSQL, Celery, RLS</w:t>
            </w:r>
          </w:p>
        </w:tc>
        <w:tc>
          <w:tcPr>
            <w:tcW w:type="dxa" w:w="2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Frontend Engineer (x2)</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Next.js/React, TypeScript, Shadcn UI</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M1</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ML Engineer</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RAG, LangChain/LangGraph, fine-tuning, NER</w:t>
            </w:r>
          </w:p>
        </w:tc>
        <w:tc>
          <w:tcPr>
            <w:tcW w:type="dxa" w:w="2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M3</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DevOps / SRE</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Kubernetes, CI/CD, monitoring, security</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M0</w:t>
            </w:r>
          </w:p>
        </w:tc>
      </w:tr>
      <w:tr>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Product Owner</w:t>
            </w:r>
          </w:p>
        </w:tc>
        <w:tc>
          <w:tcPr>
            <w:tcW w:type="dxa" w:w="48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Belgian law firm experience, deontology expertise</w:t>
            </w:r>
          </w:p>
        </w:tc>
        <w:tc>
          <w:tcPr>
            <w:tcW w:type="dxa" w:w="25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M0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QA Engineer</w:t>
            </w:r>
          </w:p>
        </w:tc>
        <w:tc>
          <w:tcPr>
            <w:tcW w:type="dxa" w:w="4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Automated testing, security, cross-tenant tests</w:t>
            </w:r>
          </w:p>
        </w:tc>
        <w:tc>
          <w:tcPr>
            <w:tcW w:type="dxa" w:w="25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M2</w:t>
            </w:r>
          </w:p>
        </w:tc>
      </w:tr>
    </w:tbl>
    <w:p>
      <w:pPr>
        <w:pStyle w:val="Heading2"/>
      </w:pPr>
      <w:r>
        <w:t xml:space="preserve">13.2 Governance</w:t>
      </w:r>
    </w:p>
    <w:p>
      <w:pPr>
        <w:pStyle w:val="ListParagraph"/>
        <w:numPr>
          <w:ilvl w:val="0"/>
          <w:numId w:val="5"/>
        </w:numPr>
        <w:spacing w:after="60" w:line="276"/>
      </w:pPr>
      <w:r>
        <w:rPr>
          <w:b/>
          <w:bCs/>
        </w:rPr>
        <w:t xml:space="preserve">Product Committee: </w:t>
      </w:r>
      <w:r>
        <w:t xml:space="preserve">Weekly. Feature arbitration, prioritization.</w:t>
      </w:r>
    </w:p>
    <w:p>
      <w:pPr>
        <w:pStyle w:val="ListParagraph"/>
        <w:numPr>
          <w:ilvl w:val="0"/>
          <w:numId w:val="5"/>
        </w:numPr>
        <w:spacing w:after="60" w:line="276"/>
      </w:pPr>
      <w:r>
        <w:rPr>
          <w:b/>
          <w:bCs/>
        </w:rPr>
        <w:t xml:space="preserve">Security Committee: </w:t>
      </w:r>
      <w:r>
        <w:t xml:space="preserve">Monthly. Incident review, PenTest, compliance.</w:t>
      </w:r>
    </w:p>
    <w:p>
      <w:pPr>
        <w:pStyle w:val="ListParagraph"/>
        <w:numPr>
          <w:ilvl w:val="0"/>
          <w:numId w:val="5"/>
        </w:numPr>
        <w:spacing w:after="60" w:line="276"/>
      </w:pPr>
      <w:r>
        <w:rPr>
          <w:b/>
          <w:bCs/>
        </w:rPr>
        <w:t xml:space="preserve">Pilot Committee: </w:t>
      </w:r>
      <w:r>
        <w:t xml:space="preserve">Bi-weekly with pilot firms. Direct feedback loop.</w:t>
      </w:r>
    </w:p>
    <w:p>
      <w:pPr>
        <w:pStyle w:val="ListParagraph"/>
        <w:numPr>
          <w:ilvl w:val="0"/>
          <w:numId w:val="5"/>
        </w:numPr>
        <w:spacing w:after="60" w:line="276"/>
      </w:pPr>
      <w:r>
        <w:rPr>
          <w:b/>
          <w:bCs/>
        </w:rPr>
        <w:t xml:space="preserve">Sprints: </w:t>
      </w:r>
      <w:r>
        <w:t xml:space="preserve">2-week cycles, live demo at end of each sprint.</w:t>
      </w:r>
    </w:p>
    <w:p>
      <w:r>
        <w:br w:type="page"/>
      </w:r>
    </w:p>
    <w:p>
      <w:pPr>
        <w:pStyle w:val="Heading1"/>
      </w:pPr>
      <w:r>
        <w:t xml:space="preserve">14. Companion Documents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4106"/>
      </w:tblGrid>
      <w:tr>
        <w:tc>
          <w:tcPr>
            <w:tcW w:type="dxa" w:w="1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Document ID</w:t>
            </w:r>
          </w:p>
        </w:tc>
        <w:tc>
          <w:tcPr>
            <w:tcW w:type="dxa" w:w="22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Title</w:t>
            </w:r>
          </w:p>
        </w:tc>
        <w:tc>
          <w:tcPr>
            <w:tcW w:type="dxa" w:w="2000"/>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Audience</w:t>
            </w:r>
          </w:p>
        </w:tc>
        <w:tc>
          <w:tcPr>
            <w:tcW w:type="dxa" w:w="4106"/>
            <w:tcBorders>
              <w:top w:val="single" w:color="BDC3C7" w:sz="1"/>
              <w:left w:val="single" w:color="BDC3C7" w:sz="1"/>
              <w:bottom w:val="single" w:color="BDC3C7" w:sz="1"/>
              <w:right w:val="single" w:color="BDC3C7" w:sz="1"/>
            </w:tcBorders>
            <w:shd w:fill="1B365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LXB-BIZ-001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Business Case &amp; Strategic Vision</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Executives, investors, partners</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Market analysis, 5 innovations, pricing, roadmap, risks</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LXB-ARCH-002</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Architecture &amp; Infrastructure Guide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Solution architect, tech lead</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6-layer architecture, stack, multi-tenant, security, AI, integrations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LXB-BACK-003</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Backend Developer Guide</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Backend developers</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Data model (15+ tables), API (40+ endpoints), services, webhook flows</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LXB-FRONT-004</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Frontend Developer Guide</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Frontend developers</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Stack, project structure, pages, design system, patterns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LXB-PLAY-005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Claude Code Implementation Playbook</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Development team</w:t>
            </w:r>
          </w:p>
        </w:tc>
        <w:tc>
          <w:tcPr>
            <w:tcW w:type="dxa" w:w="4106"/>
            <w:tcBorders>
              <w:top w:val="single" w:color="BDC3C7" w:sz="1"/>
              <w:left w:val="single" w:color="BDC3C7" w:sz="1"/>
              <w:bottom w:val="single" w:color="BDC3C7" w:sz="1"/>
              <w:right w:val="single" w:color="BDC3C7" w:sz="1"/>
            </w:tcBorders>
            <w:tcMar>
              <w:top w:type="dxa" w:w="80"/>
              <w:left w:type="dxa" w:w="120"/>
              <w:bottom w:type="dxa" w:w="80"/>
              <w:right w:type="dxa" w:w="120"/>
            </w:tcMar>
          </w:tcPr>
          <w:p>
            <w:pPr>
              <w:jc w:val="left"/>
            </w:pPr>
            <w:r>
              <w:rPr>
                <w:rFonts w:ascii="Arial" w:cs="Arial" w:eastAsia="Arial" w:hAnsi="Arial"/>
                <w:sz w:val="20"/>
                <w:szCs w:val="20"/>
              </w:rPr>
              <w:t xml:space="preserve">89 tickets, 12 sprints, 26 weeks, acceptance criteria</w:t>
            </w:r>
          </w:p>
        </w:tc>
      </w:tr>
      <w:tr>
        <w:tc>
          <w:tcPr>
            <w:tcW w:type="dxa" w:w="1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LXB-PRD-001</w:t>
            </w:r>
          </w:p>
        </w:tc>
        <w:tc>
          <w:tcPr>
            <w:tcW w:type="dxa" w:w="22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Product Requirements Document (this)</w:t>
            </w:r>
          </w:p>
        </w:tc>
        <w:tc>
          <w:tcPr>
            <w:tcW w:type="dxa" w:w="200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All stakeholders</w:t>
            </w:r>
          </w:p>
        </w:tc>
        <w:tc>
          <w:tcPr>
            <w:tcW w:type="dxa" w:w="4106"/>
            <w:tcBorders>
              <w:top w:val="single" w:color="BDC3C7" w:sz="1"/>
              <w:left w:val="single" w:color="BDC3C7" w:sz="1"/>
              <w:bottom w:val="single" w:color="BDC3C7" w:sz="1"/>
              <w:right w:val="single" w:color="BDC3C7" w:sz="1"/>
            </w:tcBorders>
            <w:shd w:fill="F4F6F7" w:val="clear"/>
            <w:tcMar>
              <w:top w:type="dxa" w:w="80"/>
              <w:left w:type="dxa" w:w="120"/>
              <w:bottom w:type="dxa" w:w="80"/>
              <w:right w:type="dxa" w:w="120"/>
            </w:tcMar>
          </w:tcPr>
          <w:p>
            <w:pPr>
              <w:jc w:val="left"/>
            </w:pPr>
            <w:r>
              <w:rPr>
                <w:rFonts w:ascii="Arial" w:cs="Arial" w:eastAsia="Arial" w:hAnsi="Arial"/>
                <w:sz w:val="20"/>
                <w:szCs w:val="20"/>
              </w:rPr>
              <w:t xml:space="preserve">Complete PRD: vision, market, features, AI, compliance, roadmap</w:t>
            </w:r>
          </w:p>
        </w:tc>
      </w:tr>
    </w:tbl>
    <w:p>
      <w:pPr>
        <w:spacing w:after="300"/>
      </w:pPr>
    </w:p>
    <w:p>
      <w:pPr>
        <w:pBdr>
          <w:top w:val="single" w:color="1B365D" w:sz="4" w:space="1"/>
        </w:pBdr>
        <w:spacing w:before="300" w:after="100"/>
        <w:jc w:val="center"/>
      </w:pPr>
    </w:p>
    <w:p>
      <w:pPr>
        <w:jc w:val="center"/>
      </w:pPr>
      <w:r>
        <w:rPr>
          <w:rFonts w:ascii="Arial" w:cs="Arial" w:eastAsia="Arial" w:hAnsi="Arial"/>
          <w:i/>
          <w:iCs/>
          <w:color w:val="999999"/>
          <w:sz w:val="18"/>
          <w:szCs w:val="18"/>
        </w:rPr>
        <w:t xml:space="preserve">FIN DU DOCUMENT — LXB-PRD-001</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999999"/>
        <w:sz w:val="16"/>
        <w:szCs w:val="16"/>
      </w:rPr>
      <w:t xml:space="preserve">LexiBel — Product Requirements Document</w:t>
    </w:r>
    <w:r>
      <w:rPr>
        <w:rFonts w:ascii="Arial" w:cs="Arial" w:eastAsia="Arial" w:hAnsi="Arial"/>
        <w:color w:val="999999"/>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5"/>
    <w:lvlOverride w:ilvl="0">
      <w:startOverride w:val="1"/>
    </w:lvlOverride>
  </w:num>
  <w:num w:numId="4">
    <w:abstractNumId w:val="20"/>
    <w:lvlOverride w:ilvl="0">
      <w:startOverride w:val="1"/>
    </w:lvlOverride>
  </w:num>
  <w:num w:numId="5">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5984"/>
      <w:sz w:val="30"/>
      <w:szCs w:val="30"/>
    </w:rPr>
  </w:style>
  <w:style w:type="paragraph" w:styleId="Heading3">
    <w:name w:val="Heading 3"/>
    <w:basedOn w:val="Normal"/>
    <w:next w:val="Normal"/>
    <w:qFormat/>
    <w:pPr>
      <w:spacing w:before="280" w:after="120"/>
      <w:outlineLvl w:val="2"/>
    </w:pPr>
    <w:rPr>
      <w:rFonts w:ascii="Arial" w:cs="Arial" w:eastAsia="Arial" w:hAnsi="Arial"/>
      <w:b/>
      <w:bCs/>
      <w:color w:val="3A7CA5"/>
      <w:sz w:val="26"/>
      <w:szCs w:val="26"/>
    </w:rPr>
  </w:style>
  <w:style w:type="paragraph" w:styleId="Heading4">
    <w:name w:val="Heading 4"/>
    <w:basedOn w:val="Normal"/>
    <w:next w:val="Normal"/>
    <w:qFormat/>
    <w:pPr>
      <w:spacing w:before="200" w:after="100"/>
      <w:outlineLvl w:val="3"/>
    </w:pPr>
    <w:rPr>
      <w:rFonts w:ascii="Arial" w:cs="Arial" w:eastAsia="Arial" w:hAnsi="Arial"/>
      <w:b/>
      <w:bCs/>
      <w:i/>
      <w:iCs/>
      <w:color w:val="4A90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2026-02-15T12:25:08.283Z</dcterms:created>
  <dcterms:modified xsi:type="dcterms:W3CDTF">2026-02-15T12:25:08.284Z</dcterms:modified>
</cp:coreProperties>
</file>

<file path=docProps/custom.xml><?xml version="1.0" encoding="utf-8"?>
<Properties xmlns="http://schemas.openxmlformats.org/officeDocument/2006/custom-properties" xmlns:vt="http://schemas.openxmlformats.org/officeDocument/2006/docPropsVTypes"/>
</file>