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6FD1" w14:textId="259AA221" w:rsidR="000D335B" w:rsidRPr="007D0C7C" w:rsidRDefault="000D335B" w:rsidP="000D335B">
      <w:pPr>
        <w:widowControl w:val="0"/>
        <w:autoSpaceDE w:val="0"/>
        <w:autoSpaceDN w:val="0"/>
        <w:adjustRightInd w:val="0"/>
        <w:spacing w:after="80"/>
        <w:ind w:firstLine="360"/>
        <w:jc w:val="both"/>
        <w:rPr>
          <w:sz w:val="24"/>
          <w:szCs w:val="24"/>
        </w:rPr>
      </w:pPr>
      <w:r w:rsidRPr="007D0C7C">
        <w:rPr>
          <w:sz w:val="24"/>
          <w:szCs w:val="24"/>
        </w:rPr>
        <w:t>After Raman analysis</w:t>
      </w:r>
      <w:r>
        <w:rPr>
          <w:sz w:val="24"/>
          <w:szCs w:val="24"/>
        </w:rPr>
        <w:t>,</w:t>
      </w:r>
      <w:r w:rsidRPr="007D0C7C">
        <w:rPr>
          <w:sz w:val="24"/>
          <w:szCs w:val="24"/>
        </w:rPr>
        <w:t xml:space="preserve"> MI were remounted in crystal bond and polished to expose the glass for Secondary Ion Mass Spectrometry analysis (SIMS). Samples were </w:t>
      </w:r>
      <w:r>
        <w:rPr>
          <w:sz w:val="24"/>
          <w:szCs w:val="24"/>
        </w:rPr>
        <w:t>mounted in epoxy that was poured in 1” OD,  ½” ID and 4 mm thick Aluminum rings to minimize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backgrounds for the instrument (enhancing vacuum conditions) and the mounts were then outgassed in a JEOL SEM vacuum specimen chamber for 72 hrs. T</w:t>
      </w:r>
      <w:r w:rsidRPr="007D0C7C">
        <w:rPr>
          <w:sz w:val="24"/>
          <w:szCs w:val="24"/>
        </w:rPr>
        <w:t>he mounts were then gold-coated. SIMS analysis was conducted at the Northeast National Ion Microprobe Facility (NENIMF) at Woods Hole Oceanographic Institution using a CAMECA IMS 1280 Secondary Ion Mass spectrometer.</w:t>
      </w:r>
      <w:r>
        <w:rPr>
          <w:sz w:val="24"/>
          <w:szCs w:val="24"/>
        </w:rPr>
        <w:t xml:space="preserve"> The mount was outgassed in the outer vacuum chamber for a minimum of 10 hrs. prior to analysis.</w:t>
      </w:r>
      <w:r w:rsidRPr="007D0C7C">
        <w:rPr>
          <w:sz w:val="24"/>
          <w:szCs w:val="24"/>
        </w:rPr>
        <w:t xml:space="preserve">  A 1nA </w:t>
      </w:r>
      <w:r w:rsidRPr="007D0C7C">
        <w:rPr>
          <w:sz w:val="24"/>
          <w:szCs w:val="24"/>
          <w:vertAlign w:val="superscript"/>
        </w:rPr>
        <w:t>133</w:t>
      </w:r>
      <w:r w:rsidRPr="007D0C7C">
        <w:rPr>
          <w:sz w:val="24"/>
          <w:szCs w:val="24"/>
        </w:rPr>
        <w:t>Cs</w:t>
      </w:r>
      <w:r w:rsidRPr="007D0C7C">
        <w:rPr>
          <w:sz w:val="24"/>
          <w:szCs w:val="24"/>
          <w:vertAlign w:val="superscript"/>
        </w:rPr>
        <w:t>+</w:t>
      </w:r>
      <w:r w:rsidRPr="007D0C7C">
        <w:rPr>
          <w:sz w:val="24"/>
          <w:szCs w:val="24"/>
        </w:rPr>
        <w:t xml:space="preserve"> primary beam was accelerated at 10kV and was focused and </w:t>
      </w:r>
      <w:proofErr w:type="spellStart"/>
      <w:r w:rsidRPr="007D0C7C">
        <w:rPr>
          <w:sz w:val="24"/>
          <w:szCs w:val="24"/>
        </w:rPr>
        <w:t>rastered</w:t>
      </w:r>
      <w:proofErr w:type="spellEnd"/>
      <w:r w:rsidRPr="007D0C7C">
        <w:rPr>
          <w:sz w:val="24"/>
          <w:szCs w:val="24"/>
        </w:rPr>
        <w:t xml:space="preserve"> to a diameter of &lt; 20 µm. Secondary ions of </w:t>
      </w:r>
      <w:r w:rsidRPr="007D0C7C">
        <w:rPr>
          <w:sz w:val="24"/>
          <w:szCs w:val="24"/>
          <w:vertAlign w:val="superscript"/>
        </w:rPr>
        <w:t>12</w:t>
      </w:r>
      <w:r w:rsidRPr="007D0C7C">
        <w:rPr>
          <w:sz w:val="24"/>
          <w:szCs w:val="24"/>
        </w:rPr>
        <w:t>C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>,</w:t>
      </w:r>
      <w:r w:rsidR="006028AB">
        <w:rPr>
          <w:sz w:val="24"/>
          <w:szCs w:val="24"/>
        </w:rPr>
        <w:t xml:space="preserve"> </w:t>
      </w:r>
      <w:r w:rsidRPr="007D0C7C">
        <w:rPr>
          <w:sz w:val="24"/>
          <w:szCs w:val="24"/>
          <w:vertAlign w:val="superscript"/>
        </w:rPr>
        <w:t>16</w:t>
      </w:r>
      <w:r w:rsidRPr="007D0C7C">
        <w:rPr>
          <w:sz w:val="24"/>
          <w:szCs w:val="24"/>
        </w:rPr>
        <w:t>O</w:t>
      </w:r>
      <w:r w:rsidRPr="007D0C7C">
        <w:rPr>
          <w:sz w:val="24"/>
          <w:szCs w:val="24"/>
          <w:vertAlign w:val="superscript"/>
        </w:rPr>
        <w:t>1</w:t>
      </w:r>
      <w:r w:rsidRPr="007D0C7C">
        <w:rPr>
          <w:sz w:val="24"/>
          <w:szCs w:val="24"/>
        </w:rPr>
        <w:t>H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, </w:t>
      </w:r>
      <w:r w:rsidRPr="007D0C7C">
        <w:rPr>
          <w:sz w:val="24"/>
          <w:szCs w:val="24"/>
          <w:vertAlign w:val="superscript"/>
        </w:rPr>
        <w:t>19</w:t>
      </w:r>
      <w:r w:rsidRPr="007D0C7C">
        <w:rPr>
          <w:sz w:val="24"/>
          <w:szCs w:val="24"/>
        </w:rPr>
        <w:t>F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, and </w:t>
      </w:r>
      <w:r w:rsidRPr="007D0C7C">
        <w:rPr>
          <w:sz w:val="24"/>
          <w:szCs w:val="24"/>
          <w:vertAlign w:val="superscript"/>
        </w:rPr>
        <w:t>30</w:t>
      </w:r>
      <w:r w:rsidRPr="007D0C7C">
        <w:rPr>
          <w:sz w:val="24"/>
          <w:szCs w:val="24"/>
        </w:rPr>
        <w:t>Si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>,</w:t>
      </w:r>
      <w:r w:rsidR="005D6B3D">
        <w:rPr>
          <w:sz w:val="24"/>
          <w:szCs w:val="24"/>
          <w:vertAlign w:val="superscript"/>
        </w:rPr>
        <w:t>31</w:t>
      </w:r>
      <w:r w:rsidR="005D6B3D">
        <w:rPr>
          <w:sz w:val="24"/>
          <w:szCs w:val="24"/>
        </w:rPr>
        <w:t>P</w:t>
      </w:r>
      <w:r w:rsidR="005D6B3D" w:rsidRPr="006028AB">
        <w:rPr>
          <w:sz w:val="24"/>
          <w:szCs w:val="24"/>
          <w:vertAlign w:val="superscript"/>
        </w:rPr>
        <w:t>-</w:t>
      </w:r>
      <w:r w:rsidR="005D6B3D" w:rsidRPr="007D0C7C">
        <w:rPr>
          <w:sz w:val="24"/>
          <w:szCs w:val="24"/>
        </w:rPr>
        <w:t xml:space="preserve"> </w:t>
      </w:r>
      <w:r w:rsidR="005D6B3D">
        <w:rPr>
          <w:sz w:val="24"/>
          <w:szCs w:val="24"/>
        </w:rPr>
        <w:t>,</w:t>
      </w:r>
      <w:r w:rsidRPr="007D0C7C">
        <w:rPr>
          <w:sz w:val="24"/>
          <w:szCs w:val="24"/>
        </w:rPr>
        <w:t xml:space="preserve"> </w:t>
      </w:r>
      <w:r w:rsidRPr="007D0C7C">
        <w:rPr>
          <w:sz w:val="24"/>
          <w:szCs w:val="24"/>
          <w:vertAlign w:val="superscript"/>
        </w:rPr>
        <w:t>32</w:t>
      </w:r>
      <w:r w:rsidRPr="007D0C7C">
        <w:rPr>
          <w:sz w:val="24"/>
          <w:szCs w:val="24"/>
        </w:rPr>
        <w:t>S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, and </w:t>
      </w:r>
      <w:r w:rsidRPr="007D0C7C">
        <w:rPr>
          <w:sz w:val="24"/>
          <w:szCs w:val="24"/>
          <w:vertAlign w:val="superscript"/>
        </w:rPr>
        <w:t>35</w:t>
      </w:r>
      <w:r w:rsidRPr="007D0C7C">
        <w:rPr>
          <w:sz w:val="24"/>
          <w:szCs w:val="24"/>
        </w:rPr>
        <w:t>Cl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 were extracted from the sample at a -10kV voltage potential. </w:t>
      </w:r>
      <w:r w:rsidR="006028AB" w:rsidRPr="007D0C7C">
        <w:rPr>
          <w:sz w:val="24"/>
          <w:szCs w:val="24"/>
        </w:rPr>
        <w:t>To</w:t>
      </w:r>
      <w:r w:rsidRPr="007D0C7C">
        <w:rPr>
          <w:sz w:val="24"/>
          <w:szCs w:val="24"/>
        </w:rPr>
        <w:t xml:space="preserve"> significantly reduce volatile background contribution from the sample surface, a pre-sputter of </w:t>
      </w:r>
      <w:r w:rsidR="006028AB">
        <w:rPr>
          <w:sz w:val="24"/>
          <w:szCs w:val="24"/>
        </w:rPr>
        <w:t>2</w:t>
      </w:r>
      <w:r w:rsidRPr="007D0C7C">
        <w:rPr>
          <w:sz w:val="24"/>
          <w:szCs w:val="24"/>
        </w:rPr>
        <w:t xml:space="preserve">00 seconds was used prior to measurement. A square field aperture in the secondary ion column was set to 600 µm X 600 µm in order to block secondary ions from outside the innermost ~6 X 6 µm of the magnified ion image, thereby sampling the innermost and deepest portion of the sputtering crater. Entrance and exit slits in the mass spectrometer were set to achieve a mass resolving power &gt;6000, sufficient to separate </w:t>
      </w:r>
      <w:r w:rsidRPr="007D0C7C">
        <w:rPr>
          <w:sz w:val="24"/>
          <w:szCs w:val="24"/>
          <w:vertAlign w:val="superscript"/>
        </w:rPr>
        <w:t>32</w:t>
      </w:r>
      <w:r w:rsidRPr="007D0C7C">
        <w:rPr>
          <w:sz w:val="24"/>
          <w:szCs w:val="24"/>
        </w:rPr>
        <w:t>S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 from </w:t>
      </w:r>
      <w:r w:rsidRPr="007D0C7C">
        <w:rPr>
          <w:sz w:val="24"/>
          <w:szCs w:val="24"/>
          <w:vertAlign w:val="superscript"/>
        </w:rPr>
        <w:t>31</w:t>
      </w:r>
      <w:r w:rsidRPr="007D0C7C">
        <w:rPr>
          <w:sz w:val="24"/>
          <w:szCs w:val="24"/>
        </w:rPr>
        <w:t>P</w:t>
      </w:r>
      <w:r w:rsidRPr="007D0C7C">
        <w:rPr>
          <w:sz w:val="24"/>
          <w:szCs w:val="24"/>
          <w:vertAlign w:val="superscript"/>
        </w:rPr>
        <w:t>1</w:t>
      </w:r>
      <w:r w:rsidRPr="007D0C7C">
        <w:rPr>
          <w:sz w:val="24"/>
          <w:szCs w:val="24"/>
        </w:rPr>
        <w:t>H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 and </w:t>
      </w:r>
      <w:r w:rsidRPr="007D0C7C">
        <w:rPr>
          <w:sz w:val="24"/>
          <w:szCs w:val="24"/>
          <w:vertAlign w:val="superscript"/>
        </w:rPr>
        <w:t>16</w:t>
      </w:r>
      <w:r w:rsidRPr="007D0C7C">
        <w:rPr>
          <w:sz w:val="24"/>
          <w:szCs w:val="24"/>
        </w:rPr>
        <w:t>O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  <w:vertAlign w:val="superscript"/>
        </w:rPr>
        <w:t>-</w:t>
      </w:r>
      <w:r w:rsidRPr="007D0C7C">
        <w:rPr>
          <w:sz w:val="24"/>
          <w:szCs w:val="24"/>
        </w:rPr>
        <w:t xml:space="preserve">, </w:t>
      </w:r>
      <w:r w:rsidRPr="007D0C7C">
        <w:rPr>
          <w:sz w:val="24"/>
          <w:szCs w:val="24"/>
          <w:u w:val="single"/>
          <w:vertAlign w:val="superscript"/>
        </w:rPr>
        <w:t>16</w:t>
      </w:r>
      <w:r w:rsidRPr="007D0C7C">
        <w:rPr>
          <w:sz w:val="24"/>
          <w:szCs w:val="24"/>
          <w:u w:val="single"/>
        </w:rPr>
        <w:t>O</w:t>
      </w:r>
      <w:r w:rsidRPr="007D0C7C">
        <w:rPr>
          <w:sz w:val="24"/>
          <w:szCs w:val="24"/>
          <w:u w:val="single"/>
          <w:vertAlign w:val="superscript"/>
        </w:rPr>
        <w:t>1</w:t>
      </w:r>
      <w:r w:rsidRPr="007D0C7C">
        <w:rPr>
          <w:sz w:val="24"/>
          <w:szCs w:val="24"/>
          <w:u w:val="single"/>
        </w:rPr>
        <w:t xml:space="preserve">H from </w:t>
      </w:r>
      <w:r w:rsidRPr="007D0C7C">
        <w:rPr>
          <w:sz w:val="24"/>
          <w:szCs w:val="24"/>
          <w:u w:val="single"/>
          <w:vertAlign w:val="superscript"/>
        </w:rPr>
        <w:t>17</w:t>
      </w:r>
      <w:r w:rsidRPr="007D0C7C">
        <w:rPr>
          <w:sz w:val="24"/>
          <w:szCs w:val="24"/>
          <w:u w:val="single"/>
        </w:rPr>
        <w:t>O, and all hydride interferences.</w:t>
      </w:r>
      <w:r w:rsidRPr="007D0C7C">
        <w:rPr>
          <w:b/>
          <w:bCs/>
          <w:sz w:val="24"/>
          <w:szCs w:val="24"/>
          <w:u w:val="single"/>
        </w:rPr>
        <w:t xml:space="preserve"> </w:t>
      </w:r>
      <w:r w:rsidRPr="007D0C7C">
        <w:rPr>
          <w:sz w:val="24"/>
          <w:szCs w:val="24"/>
          <w:u w:val="single"/>
        </w:rPr>
        <w:t xml:space="preserve">All secondary ion abundances were measured on an ion counting ETP electron multiplier over five measurement cycles, with count times ranging from 5 to 10 seconds. </w:t>
      </w:r>
      <w:r w:rsidRPr="007D0C7C">
        <w:rPr>
          <w:sz w:val="24"/>
          <w:szCs w:val="24"/>
        </w:rPr>
        <w:t>CO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>, H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 xml:space="preserve">O, S, Cl and F concentrations on the MI glasses were calculated from linear calibrations derived by measuring natural and synthetic basaltic glasses of known volatile concentrations. Volatile backgrounds were determined by measuring </w:t>
      </w:r>
      <w:r w:rsidR="006028AB">
        <w:rPr>
          <w:sz w:val="24"/>
          <w:szCs w:val="24"/>
        </w:rPr>
        <w:t xml:space="preserve">Basaltic glass 519 (necessary to correct for high OH background due to epoxy mounts), </w:t>
      </w:r>
      <w:r w:rsidRPr="007D0C7C">
        <w:rPr>
          <w:sz w:val="24"/>
          <w:szCs w:val="24"/>
        </w:rPr>
        <w:t xml:space="preserve">synthetic </w:t>
      </w:r>
      <w:proofErr w:type="spellStart"/>
      <w:r w:rsidRPr="007D0C7C">
        <w:rPr>
          <w:sz w:val="24"/>
          <w:szCs w:val="24"/>
        </w:rPr>
        <w:t>Suprasil</w:t>
      </w:r>
      <w:proofErr w:type="spellEnd"/>
      <w:r w:rsidRPr="007D0C7C">
        <w:rPr>
          <w:sz w:val="24"/>
          <w:szCs w:val="24"/>
        </w:rPr>
        <w:t xml:space="preserve"> SiO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 xml:space="preserve"> glass (with negligible CO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>, H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 xml:space="preserve">O, F, and S) and </w:t>
      </w:r>
      <w:proofErr w:type="spellStart"/>
      <w:r w:rsidRPr="007D0C7C">
        <w:rPr>
          <w:sz w:val="24"/>
          <w:szCs w:val="24"/>
        </w:rPr>
        <w:t>Herasil</w:t>
      </w:r>
      <w:proofErr w:type="spellEnd"/>
      <w:r w:rsidRPr="007D0C7C">
        <w:rPr>
          <w:sz w:val="24"/>
          <w:szCs w:val="24"/>
        </w:rPr>
        <w:t xml:space="preserve"> SiO</w:t>
      </w:r>
      <w:r w:rsidRPr="007D0C7C">
        <w:rPr>
          <w:sz w:val="24"/>
          <w:szCs w:val="24"/>
          <w:vertAlign w:val="subscript"/>
        </w:rPr>
        <w:t>2</w:t>
      </w:r>
      <w:r w:rsidRPr="007D0C7C">
        <w:rPr>
          <w:sz w:val="24"/>
          <w:szCs w:val="24"/>
        </w:rPr>
        <w:t xml:space="preserve"> glass and synthetic forsterite (with negligible Cl). Data reduction, including 2 sigma ratio filtering, electron multiplier dead-time correction, and time interpolation, utilized in-house </w:t>
      </w:r>
      <w:proofErr w:type="spellStart"/>
      <w:r w:rsidRPr="007D0C7C">
        <w:rPr>
          <w:sz w:val="24"/>
          <w:szCs w:val="24"/>
        </w:rPr>
        <w:t>matlab</w:t>
      </w:r>
      <w:proofErr w:type="spellEnd"/>
      <w:r w:rsidRPr="007D0C7C">
        <w:rPr>
          <w:sz w:val="24"/>
          <w:szCs w:val="24"/>
        </w:rPr>
        <w:t xml:space="preserve"> code at NENIMF. We report error as 2</w:t>
      </w:r>
      <w:r w:rsidRPr="007D0C7C">
        <w:rPr>
          <w:sz w:val="24"/>
          <w:szCs w:val="24"/>
        </w:rPr>
        <w:sym w:font="Symbol" w:char="F073"/>
      </w:r>
      <w:r w:rsidRPr="007D0C7C">
        <w:rPr>
          <w:sz w:val="24"/>
          <w:szCs w:val="24"/>
        </w:rPr>
        <w:t xml:space="preserve"> for measurements, including analytical measurement precision and error on the standard calibration curves</w:t>
      </w:r>
      <w:r w:rsidR="006028AB">
        <w:rPr>
          <w:sz w:val="24"/>
          <w:szCs w:val="24"/>
        </w:rPr>
        <w:t>.</w:t>
      </w:r>
      <w:r w:rsidRPr="007D0C7C">
        <w:rPr>
          <w:sz w:val="24"/>
          <w:szCs w:val="24"/>
        </w:rPr>
        <w:t xml:space="preserve"> </w:t>
      </w:r>
    </w:p>
    <w:p w14:paraId="57239132" w14:textId="77777777" w:rsidR="00D712AB" w:rsidRDefault="00D712AB"/>
    <w:sectPr w:rsidR="00D7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B"/>
    <w:rsid w:val="000D335B"/>
    <w:rsid w:val="00555FD0"/>
    <w:rsid w:val="005D6B3D"/>
    <w:rsid w:val="005F3FB7"/>
    <w:rsid w:val="006028AB"/>
    <w:rsid w:val="00905107"/>
    <w:rsid w:val="00A67123"/>
    <w:rsid w:val="00B3314D"/>
    <w:rsid w:val="00D712AB"/>
    <w:rsid w:val="00D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4F62"/>
  <w15:chartTrackingRefBased/>
  <w15:docId w15:val="{F966F108-83CF-4C43-9CF6-EDD1D21C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B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5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5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5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5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5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5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5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5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5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5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3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Devitre</dc:creator>
  <cp:keywords/>
  <dc:description/>
  <cp:lastModifiedBy>Charlotte Devitre</cp:lastModifiedBy>
  <cp:revision>2</cp:revision>
  <dcterms:created xsi:type="dcterms:W3CDTF">2025-01-10T22:21:00Z</dcterms:created>
  <dcterms:modified xsi:type="dcterms:W3CDTF">2025-01-11T00:47:00Z</dcterms:modified>
</cp:coreProperties>
</file>