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0275" cy="1000125"/>
            <wp:effectExtent l="0" t="0" r="9525" b="9525"/>
            <wp:docPr id="1" name="图片 1" descr="58f4b1dcce2977d89a73ffb08061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f4b1dcce2977d89a73ffb0806119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选中工具界面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8925" cy="3232150"/>
            <wp:effectExtent l="0" t="0" r="3175" b="635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2.把相关的需要读取的已打包的配置文件放入工程中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1535" cy="3300095"/>
            <wp:effectExtent l="0" t="0" r="5715" b="146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可选中目录，也可选中独立的几个文件。点击Read AssetBoundle To AssetBoundleRead Dir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5775" cy="4739005"/>
            <wp:effectExtent l="0" t="0" r="15875" b="444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73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4.读取的文件自动会生成在AssetBoundleRead目录下，只需要选中这个资源，就可以看到里面的数据了。可以和excel文件做比对看下是否配置没有问题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7F0C"/>
    <w:multiLevelType w:val="singleLevel"/>
    <w:tmpl w:val="5AB07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07FE2"/>
    <w:multiLevelType w:val="singleLevel"/>
    <w:tmpl w:val="5AB07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56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2018-03-20T03:27:50Z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