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C8385" w14:textId="05A8B9AD" w:rsidR="00853DA3" w:rsidRPr="00B84387" w:rsidRDefault="00853DA3" w:rsidP="00CF69EB">
      <w:pPr>
        <w:pStyle w:val="Heading2"/>
        <w:rPr>
          <w:rFonts w:ascii="Times New Roman" w:hAnsi="Times New Roman" w:cs="Times New Roman"/>
          <w:sz w:val="24"/>
          <w:szCs w:val="24"/>
        </w:rPr>
      </w:pPr>
      <w:r w:rsidRPr="00B84387">
        <w:rPr>
          <w:rFonts w:ascii="Times New Roman" w:hAnsi="Times New Roman" w:cs="Times New Roman"/>
          <w:sz w:val="24"/>
          <w:szCs w:val="24"/>
        </w:rPr>
        <w:t>ABSTRACT</w:t>
      </w:r>
    </w:p>
    <w:p w14:paraId="76D87E05" w14:textId="02EC69A8" w:rsidR="00916604" w:rsidRPr="00B84387" w:rsidRDefault="00000CC5" w:rsidP="00581618">
      <w:pPr>
        <w:rPr>
          <w:rFonts w:ascii="Times New Roman" w:hAnsi="Times New Roman" w:cs="Times New Roman"/>
          <w:sz w:val="24"/>
          <w:szCs w:val="24"/>
        </w:rPr>
      </w:pPr>
      <w:r w:rsidRPr="00B84387">
        <w:rPr>
          <w:rFonts w:ascii="Times New Roman" w:hAnsi="Times New Roman" w:cs="Times New Roman"/>
          <w:sz w:val="24"/>
          <w:szCs w:val="24"/>
        </w:rPr>
        <w:t xml:space="preserve">U.S. life expectancy has stagnated </w:t>
      </w:r>
      <w:r w:rsidR="00C3593A" w:rsidRPr="00B84387">
        <w:rPr>
          <w:rFonts w:ascii="Times New Roman" w:hAnsi="Times New Roman" w:cs="Times New Roman"/>
          <w:sz w:val="24"/>
          <w:szCs w:val="24"/>
        </w:rPr>
        <w:t>and even decreased</w:t>
      </w:r>
      <w:r w:rsidR="00D331F4" w:rsidRPr="00B84387">
        <w:rPr>
          <w:rFonts w:ascii="Times New Roman" w:hAnsi="Times New Roman" w:cs="Times New Roman"/>
          <w:sz w:val="24"/>
          <w:szCs w:val="24"/>
        </w:rPr>
        <w:t xml:space="preserve"> in some years</w:t>
      </w:r>
      <w:r w:rsidR="00C3593A" w:rsidRPr="00B84387">
        <w:rPr>
          <w:rFonts w:ascii="Times New Roman" w:hAnsi="Times New Roman" w:cs="Times New Roman"/>
          <w:sz w:val="24"/>
          <w:szCs w:val="24"/>
        </w:rPr>
        <w:t xml:space="preserve"> </w:t>
      </w:r>
      <w:r w:rsidR="004B5618" w:rsidRPr="00B84387">
        <w:rPr>
          <w:rFonts w:ascii="Times New Roman" w:hAnsi="Times New Roman" w:cs="Times New Roman"/>
          <w:sz w:val="24"/>
          <w:szCs w:val="24"/>
        </w:rPr>
        <w:t>since 2010</w:t>
      </w:r>
      <w:r w:rsidR="00D331F4" w:rsidRPr="00B84387">
        <w:rPr>
          <w:rFonts w:ascii="Times New Roman" w:hAnsi="Times New Roman" w:cs="Times New Roman"/>
          <w:sz w:val="24"/>
          <w:szCs w:val="24"/>
        </w:rPr>
        <w:t>. “Deaths of despair” concentrated among White men in young and middle adulthood were identified as a driver of early declines, with more recent evidence showing rising mortality among Black men from these same causes.</w:t>
      </w:r>
      <w:r w:rsidR="008009C4" w:rsidRPr="00B84387">
        <w:rPr>
          <w:rFonts w:ascii="Times New Roman" w:hAnsi="Times New Roman" w:cs="Times New Roman"/>
          <w:sz w:val="24"/>
          <w:szCs w:val="24"/>
        </w:rPr>
        <w:t xml:space="preserve"> </w:t>
      </w:r>
      <w:r w:rsidR="00F717DF" w:rsidRPr="00B84387">
        <w:rPr>
          <w:rFonts w:ascii="Times New Roman" w:hAnsi="Times New Roman" w:cs="Times New Roman"/>
          <w:sz w:val="24"/>
          <w:szCs w:val="24"/>
        </w:rPr>
        <w:t>T</w:t>
      </w:r>
      <w:r w:rsidR="001264AB" w:rsidRPr="00B84387">
        <w:rPr>
          <w:rFonts w:ascii="Times New Roman" w:hAnsi="Times New Roman" w:cs="Times New Roman"/>
          <w:sz w:val="24"/>
          <w:szCs w:val="24"/>
        </w:rPr>
        <w:t xml:space="preserve">he impact of the causes of these excess deaths </w:t>
      </w:r>
      <w:r w:rsidR="00BE0328" w:rsidRPr="00B84387">
        <w:rPr>
          <w:rFonts w:ascii="Times New Roman" w:hAnsi="Times New Roman" w:cs="Times New Roman"/>
          <w:sz w:val="24"/>
          <w:szCs w:val="24"/>
        </w:rPr>
        <w:t xml:space="preserve">on </w:t>
      </w:r>
      <w:r w:rsidR="001264AB" w:rsidRPr="00B84387">
        <w:rPr>
          <w:rFonts w:ascii="Times New Roman" w:hAnsi="Times New Roman" w:cs="Times New Roman"/>
          <w:sz w:val="24"/>
          <w:szCs w:val="24"/>
        </w:rPr>
        <w:t xml:space="preserve">health trajectories </w:t>
      </w:r>
      <w:r w:rsidR="006041F1" w:rsidRPr="00B84387">
        <w:rPr>
          <w:rFonts w:ascii="Times New Roman" w:hAnsi="Times New Roman" w:cs="Times New Roman"/>
          <w:sz w:val="24"/>
          <w:szCs w:val="24"/>
        </w:rPr>
        <w:t>in still-living members of the population</w:t>
      </w:r>
      <w:r w:rsidR="001264AB" w:rsidRPr="00B84387">
        <w:rPr>
          <w:rFonts w:ascii="Times New Roman" w:hAnsi="Times New Roman" w:cs="Times New Roman"/>
          <w:sz w:val="24"/>
          <w:szCs w:val="24"/>
        </w:rPr>
        <w:t xml:space="preserve"> remains unknown.</w:t>
      </w:r>
      <w:r w:rsidR="00B27FD8" w:rsidRPr="00B84387">
        <w:rPr>
          <w:rFonts w:ascii="Times New Roman" w:hAnsi="Times New Roman" w:cs="Times New Roman"/>
          <w:sz w:val="24"/>
          <w:szCs w:val="24"/>
        </w:rPr>
        <w:t xml:space="preserve"> </w:t>
      </w:r>
      <w:r w:rsidR="00992F34" w:rsidRPr="00B84387">
        <w:rPr>
          <w:rFonts w:ascii="Times New Roman" w:hAnsi="Times New Roman" w:cs="Times New Roman"/>
          <w:sz w:val="24"/>
          <w:szCs w:val="24"/>
        </w:rPr>
        <w:t>N</w:t>
      </w:r>
      <w:r w:rsidR="00B27FD8" w:rsidRPr="00B84387">
        <w:rPr>
          <w:rFonts w:ascii="Times New Roman" w:hAnsi="Times New Roman" w:cs="Times New Roman"/>
          <w:sz w:val="24"/>
          <w:szCs w:val="24"/>
        </w:rPr>
        <w:t xml:space="preserve">ovel measures of biological aging may be well-suited to </w:t>
      </w:r>
      <w:r w:rsidR="00DD5D56" w:rsidRPr="00B84387">
        <w:rPr>
          <w:rFonts w:ascii="Times New Roman" w:hAnsi="Times New Roman" w:cs="Times New Roman"/>
          <w:sz w:val="24"/>
          <w:szCs w:val="24"/>
        </w:rPr>
        <w:t xml:space="preserve">early </w:t>
      </w:r>
      <w:r w:rsidR="00B27FD8" w:rsidRPr="00B84387">
        <w:rPr>
          <w:rFonts w:ascii="Times New Roman" w:hAnsi="Times New Roman" w:cs="Times New Roman"/>
          <w:sz w:val="24"/>
          <w:szCs w:val="24"/>
        </w:rPr>
        <w:t>population health</w:t>
      </w:r>
      <w:r w:rsidR="00CC64F8" w:rsidRPr="00B84387">
        <w:rPr>
          <w:rFonts w:ascii="Times New Roman" w:hAnsi="Times New Roman" w:cs="Times New Roman"/>
          <w:sz w:val="24"/>
          <w:szCs w:val="24"/>
        </w:rPr>
        <w:t xml:space="preserve"> </w:t>
      </w:r>
      <w:r w:rsidR="00BD119E" w:rsidRPr="00B84387">
        <w:rPr>
          <w:rFonts w:ascii="Times New Roman" w:hAnsi="Times New Roman" w:cs="Times New Roman"/>
          <w:sz w:val="24"/>
          <w:szCs w:val="24"/>
        </w:rPr>
        <w:t>monitoring</w:t>
      </w:r>
      <w:r w:rsidR="00B27FD8" w:rsidRPr="00B84387">
        <w:rPr>
          <w:rFonts w:ascii="Times New Roman" w:hAnsi="Times New Roman" w:cs="Times New Roman"/>
          <w:sz w:val="24"/>
          <w:szCs w:val="24"/>
        </w:rPr>
        <w:t xml:space="preserve">, providing readouts of </w:t>
      </w:r>
      <w:r w:rsidR="003B4EBE" w:rsidRPr="00B84387">
        <w:rPr>
          <w:rFonts w:ascii="Times New Roman" w:hAnsi="Times New Roman" w:cs="Times New Roman"/>
          <w:sz w:val="24"/>
          <w:szCs w:val="24"/>
        </w:rPr>
        <w:t xml:space="preserve">aging-related </w:t>
      </w:r>
      <w:r w:rsidR="00B27FD8" w:rsidRPr="00B84387">
        <w:rPr>
          <w:rFonts w:ascii="Times New Roman" w:hAnsi="Times New Roman" w:cs="Times New Roman"/>
          <w:sz w:val="24"/>
          <w:szCs w:val="24"/>
        </w:rPr>
        <w:t xml:space="preserve">physiological integrity decades before the onset of disease and disability. </w:t>
      </w:r>
      <w:r w:rsidR="00C32143" w:rsidRPr="00B84387">
        <w:rPr>
          <w:rFonts w:ascii="Times New Roman" w:hAnsi="Times New Roman" w:cs="Times New Roman"/>
          <w:sz w:val="24"/>
          <w:szCs w:val="24"/>
        </w:rPr>
        <w:t xml:space="preserve">We analyzed data from 29,487 participants in the 1999-2018 waves of continuous NHANES to evaluate </w:t>
      </w:r>
      <w:r w:rsidR="00B27FD8" w:rsidRPr="00B84387">
        <w:rPr>
          <w:rFonts w:ascii="Times New Roman" w:hAnsi="Times New Roman" w:cs="Times New Roman"/>
          <w:sz w:val="24"/>
          <w:szCs w:val="24"/>
        </w:rPr>
        <w:t>population aging trajectories in the United States</w:t>
      </w:r>
      <w:r w:rsidR="007B6F50" w:rsidRPr="00B84387">
        <w:rPr>
          <w:rFonts w:ascii="Times New Roman" w:hAnsi="Times New Roman" w:cs="Times New Roman"/>
          <w:sz w:val="24"/>
          <w:szCs w:val="24"/>
        </w:rPr>
        <w:t xml:space="preserve"> over the first two decades of the 21</w:t>
      </w:r>
      <w:r w:rsidR="007B6F50" w:rsidRPr="00B84387">
        <w:rPr>
          <w:rFonts w:ascii="Times New Roman" w:hAnsi="Times New Roman" w:cs="Times New Roman"/>
          <w:sz w:val="24"/>
          <w:szCs w:val="24"/>
          <w:vertAlign w:val="superscript"/>
        </w:rPr>
        <w:t>st</w:t>
      </w:r>
      <w:r w:rsidR="007B6F50" w:rsidRPr="00B84387">
        <w:rPr>
          <w:rFonts w:ascii="Times New Roman" w:hAnsi="Times New Roman" w:cs="Times New Roman"/>
          <w:sz w:val="24"/>
          <w:szCs w:val="24"/>
        </w:rPr>
        <w:t xml:space="preserve"> century</w:t>
      </w:r>
      <w:r w:rsidR="009F48E7" w:rsidRPr="00B84387">
        <w:rPr>
          <w:rFonts w:ascii="Times New Roman" w:hAnsi="Times New Roman" w:cs="Times New Roman"/>
          <w:sz w:val="24"/>
          <w:szCs w:val="24"/>
        </w:rPr>
        <w:t>.</w:t>
      </w:r>
      <w:r w:rsidR="007B6F50" w:rsidRPr="00B84387">
        <w:rPr>
          <w:rFonts w:ascii="Times New Roman" w:hAnsi="Times New Roman" w:cs="Times New Roman"/>
          <w:sz w:val="24"/>
          <w:szCs w:val="24"/>
        </w:rPr>
        <w:t xml:space="preserve"> </w:t>
      </w:r>
      <w:r w:rsidR="00B30BB0" w:rsidRPr="00B84387">
        <w:rPr>
          <w:rFonts w:ascii="Times New Roman" w:hAnsi="Times New Roman" w:cs="Times New Roman"/>
          <w:sz w:val="24"/>
          <w:szCs w:val="24"/>
        </w:rPr>
        <w:t>Biological aging was quantified using the PhenoAge algorithm, with b</w:t>
      </w:r>
      <w:r w:rsidR="00916604" w:rsidRPr="00B84387">
        <w:rPr>
          <w:rFonts w:ascii="Times New Roman" w:hAnsi="Times New Roman" w:cs="Times New Roman"/>
          <w:sz w:val="24"/>
          <w:szCs w:val="24"/>
        </w:rPr>
        <w:t xml:space="preserve">iological-age advancements calculated as the difference between PhenoAge and chronological age. </w:t>
      </w:r>
      <w:r w:rsidR="00BE0328" w:rsidRPr="00B84387">
        <w:rPr>
          <w:rFonts w:ascii="Times New Roman" w:hAnsi="Times New Roman" w:cs="Times New Roman"/>
          <w:sz w:val="24"/>
          <w:szCs w:val="24"/>
        </w:rPr>
        <w:t xml:space="preserve">We </w:t>
      </w:r>
      <w:r w:rsidR="00403E2F" w:rsidRPr="00B84387">
        <w:rPr>
          <w:rFonts w:ascii="Times New Roman" w:hAnsi="Times New Roman" w:cs="Times New Roman"/>
          <w:sz w:val="24"/>
          <w:szCs w:val="24"/>
        </w:rPr>
        <w:t xml:space="preserve">conducted </w:t>
      </w:r>
      <w:r w:rsidR="00222782" w:rsidRPr="00B84387">
        <w:rPr>
          <w:rFonts w:ascii="Times New Roman" w:hAnsi="Times New Roman" w:cs="Times New Roman"/>
          <w:sz w:val="24"/>
          <w:szCs w:val="24"/>
        </w:rPr>
        <w:t xml:space="preserve">age-period-cohort (APC) analysis </w:t>
      </w:r>
      <w:r w:rsidR="00863774" w:rsidRPr="00B84387">
        <w:rPr>
          <w:rFonts w:ascii="Times New Roman" w:hAnsi="Times New Roman" w:cs="Times New Roman"/>
          <w:sz w:val="24"/>
          <w:szCs w:val="24"/>
        </w:rPr>
        <w:t xml:space="preserve">using Bayesian </w:t>
      </w:r>
      <w:r w:rsidR="00394717" w:rsidRPr="00B84387">
        <w:rPr>
          <w:rFonts w:ascii="Times New Roman" w:hAnsi="Times New Roman" w:cs="Times New Roman"/>
          <w:sz w:val="24"/>
          <w:szCs w:val="24"/>
        </w:rPr>
        <w:t xml:space="preserve">Hierarchical </w:t>
      </w:r>
      <w:r w:rsidR="00D240EB" w:rsidRPr="00B84387">
        <w:rPr>
          <w:rFonts w:ascii="Times New Roman" w:hAnsi="Times New Roman" w:cs="Times New Roman"/>
          <w:sz w:val="24"/>
          <w:szCs w:val="24"/>
        </w:rPr>
        <w:t xml:space="preserve">APC </w:t>
      </w:r>
      <w:r w:rsidR="00863774" w:rsidRPr="00B84387">
        <w:rPr>
          <w:rFonts w:ascii="Times New Roman" w:hAnsi="Times New Roman" w:cs="Times New Roman"/>
          <w:sz w:val="24"/>
          <w:szCs w:val="24"/>
        </w:rPr>
        <w:t>models.</w:t>
      </w:r>
      <w:r w:rsidR="000531A3" w:rsidRPr="00B84387">
        <w:rPr>
          <w:rFonts w:ascii="Times New Roman" w:hAnsi="Times New Roman" w:cs="Times New Roman"/>
          <w:sz w:val="24"/>
          <w:szCs w:val="24"/>
        </w:rPr>
        <w:t xml:space="preserve"> </w:t>
      </w:r>
      <w:r w:rsidR="008C6040" w:rsidRPr="00B84387">
        <w:rPr>
          <w:rFonts w:ascii="Times New Roman" w:hAnsi="Times New Roman" w:cs="Times New Roman"/>
          <w:sz w:val="24"/>
          <w:szCs w:val="24"/>
        </w:rPr>
        <w:t xml:space="preserve">Mean </w:t>
      </w:r>
      <w:r w:rsidR="00581618" w:rsidRPr="00B84387">
        <w:rPr>
          <w:rFonts w:ascii="Times New Roman" w:hAnsi="Times New Roman" w:cs="Times New Roman"/>
          <w:sz w:val="24"/>
          <w:szCs w:val="24"/>
        </w:rPr>
        <w:t>biological-age advancement rose over the study period 1999-2018 across all race-sex subgroups</w:t>
      </w:r>
      <w:r w:rsidR="00472601" w:rsidRPr="00B84387">
        <w:rPr>
          <w:rFonts w:ascii="Times New Roman" w:hAnsi="Times New Roman" w:cs="Times New Roman"/>
          <w:sz w:val="24"/>
          <w:szCs w:val="24"/>
        </w:rPr>
        <w:t>, with</w:t>
      </w:r>
      <w:r w:rsidR="009742CD" w:rsidRPr="00B84387">
        <w:rPr>
          <w:rFonts w:ascii="Times New Roman" w:hAnsi="Times New Roman" w:cs="Times New Roman"/>
          <w:sz w:val="24"/>
          <w:szCs w:val="24"/>
        </w:rPr>
        <w:t xml:space="preserve"> population aging trajectories reverting back to early-1990s levels </w:t>
      </w:r>
      <w:r w:rsidR="00FE3752" w:rsidRPr="00B84387">
        <w:rPr>
          <w:rFonts w:ascii="Times New Roman" w:hAnsi="Times New Roman" w:cs="Times New Roman"/>
          <w:sz w:val="24"/>
          <w:szCs w:val="24"/>
        </w:rPr>
        <w:t>by</w:t>
      </w:r>
      <w:r w:rsidR="009742CD" w:rsidRPr="00B84387">
        <w:rPr>
          <w:rFonts w:ascii="Times New Roman" w:hAnsi="Times New Roman" w:cs="Times New Roman"/>
          <w:sz w:val="24"/>
          <w:szCs w:val="24"/>
        </w:rPr>
        <w:t xml:space="preserve"> 2018.</w:t>
      </w:r>
      <w:r w:rsidR="001175FB" w:rsidRPr="00B84387">
        <w:rPr>
          <w:rFonts w:ascii="Times New Roman" w:hAnsi="Times New Roman" w:cs="Times New Roman"/>
          <w:sz w:val="24"/>
          <w:szCs w:val="24"/>
        </w:rPr>
        <w:t xml:space="preserve"> Formal APC decomposition revealed significant period effects across all strata of race and sex, but no significant cohort effects</w:t>
      </w:r>
      <w:r w:rsidR="00153523" w:rsidRPr="00B84387">
        <w:rPr>
          <w:rFonts w:ascii="Times New Roman" w:hAnsi="Times New Roman" w:cs="Times New Roman"/>
          <w:sz w:val="24"/>
          <w:szCs w:val="24"/>
        </w:rPr>
        <w:t>.</w:t>
      </w:r>
      <w:r w:rsidR="00A6510E" w:rsidRPr="00B84387">
        <w:rPr>
          <w:rFonts w:ascii="Times New Roman" w:hAnsi="Times New Roman" w:cs="Times New Roman"/>
          <w:sz w:val="24"/>
          <w:szCs w:val="24"/>
        </w:rPr>
        <w:t xml:space="preserve"> </w:t>
      </w:r>
      <w:r w:rsidR="004957EB" w:rsidRPr="00B84387">
        <w:rPr>
          <w:rFonts w:ascii="Times New Roman" w:hAnsi="Times New Roman" w:cs="Times New Roman"/>
          <w:sz w:val="24"/>
          <w:szCs w:val="24"/>
        </w:rPr>
        <w:t xml:space="preserve">Our findings suggest </w:t>
      </w:r>
      <w:r w:rsidR="00FB0701" w:rsidRPr="00B84387">
        <w:rPr>
          <w:rFonts w:ascii="Times New Roman" w:hAnsi="Times New Roman" w:cs="Times New Roman"/>
          <w:sz w:val="24"/>
          <w:szCs w:val="24"/>
        </w:rPr>
        <w:t>that g</w:t>
      </w:r>
      <w:r w:rsidR="00A6510E" w:rsidRPr="00B84387">
        <w:rPr>
          <w:rFonts w:ascii="Times New Roman" w:hAnsi="Times New Roman" w:cs="Times New Roman"/>
          <w:sz w:val="24"/>
          <w:szCs w:val="24"/>
        </w:rPr>
        <w:t xml:space="preserve">reater attention to the non-fatal impacts of the Great Recession and opioid epidemic </w:t>
      </w:r>
      <w:r w:rsidR="00B952A1" w:rsidRPr="00B84387">
        <w:rPr>
          <w:rFonts w:ascii="Times New Roman" w:hAnsi="Times New Roman" w:cs="Times New Roman"/>
          <w:sz w:val="24"/>
          <w:szCs w:val="24"/>
        </w:rPr>
        <w:t>may</w:t>
      </w:r>
      <w:r w:rsidR="00A6510E" w:rsidRPr="00B84387">
        <w:rPr>
          <w:rFonts w:ascii="Times New Roman" w:hAnsi="Times New Roman" w:cs="Times New Roman"/>
          <w:sz w:val="24"/>
          <w:szCs w:val="24"/>
        </w:rPr>
        <w:t xml:space="preserve"> </w:t>
      </w:r>
      <w:r w:rsidR="00B952A1" w:rsidRPr="00B84387">
        <w:rPr>
          <w:rFonts w:ascii="Times New Roman" w:hAnsi="Times New Roman" w:cs="Times New Roman"/>
          <w:sz w:val="24"/>
          <w:szCs w:val="24"/>
        </w:rPr>
        <w:t xml:space="preserve">be </w:t>
      </w:r>
      <w:r w:rsidR="00A6510E" w:rsidRPr="00B84387">
        <w:rPr>
          <w:rFonts w:ascii="Times New Roman" w:hAnsi="Times New Roman" w:cs="Times New Roman"/>
          <w:sz w:val="24"/>
          <w:szCs w:val="24"/>
        </w:rPr>
        <w:t>warranted</w:t>
      </w:r>
      <w:r w:rsidR="00B952A1" w:rsidRPr="00B84387">
        <w:rPr>
          <w:rFonts w:ascii="Times New Roman" w:hAnsi="Times New Roman" w:cs="Times New Roman"/>
          <w:sz w:val="24"/>
          <w:szCs w:val="24"/>
        </w:rPr>
        <w:t xml:space="preserve">, </w:t>
      </w:r>
      <w:r w:rsidR="00A6510E" w:rsidRPr="00B84387">
        <w:rPr>
          <w:rFonts w:ascii="Times New Roman" w:hAnsi="Times New Roman" w:cs="Times New Roman"/>
          <w:sz w:val="24"/>
          <w:szCs w:val="24"/>
        </w:rPr>
        <w:t xml:space="preserve">especially among minoritized population groups who may experience substantial but non-fatal health decrements stemming from these exposures. </w:t>
      </w:r>
    </w:p>
    <w:p w14:paraId="39E48728" w14:textId="2F1E5DF5" w:rsidR="00CF69EB" w:rsidRPr="00B84387" w:rsidRDefault="00323A83" w:rsidP="00CF69EB">
      <w:pPr>
        <w:pStyle w:val="Heading2"/>
        <w:rPr>
          <w:rFonts w:ascii="Times New Roman" w:hAnsi="Times New Roman" w:cs="Times New Roman"/>
          <w:sz w:val="24"/>
          <w:szCs w:val="24"/>
        </w:rPr>
      </w:pPr>
      <w:r w:rsidRPr="00B84387">
        <w:rPr>
          <w:rFonts w:ascii="Times New Roman" w:hAnsi="Times New Roman" w:cs="Times New Roman"/>
          <w:sz w:val="24"/>
          <w:szCs w:val="24"/>
        </w:rPr>
        <w:t>INTRODUCTION</w:t>
      </w:r>
    </w:p>
    <w:p w14:paraId="484A03AD" w14:textId="333EA0FE" w:rsidR="000A3646" w:rsidRPr="00B84387" w:rsidRDefault="004979E4" w:rsidP="002810E6">
      <w:pPr>
        <w:rPr>
          <w:rFonts w:ascii="Times New Roman" w:hAnsi="Times New Roman" w:cs="Times New Roman"/>
          <w:sz w:val="24"/>
          <w:szCs w:val="24"/>
        </w:rPr>
      </w:pPr>
      <w:r w:rsidRPr="00B84387">
        <w:rPr>
          <w:rFonts w:ascii="Times New Roman" w:hAnsi="Times New Roman" w:cs="Times New Roman"/>
          <w:b/>
          <w:bCs/>
          <w:sz w:val="24"/>
          <w:szCs w:val="24"/>
        </w:rPr>
        <w:t>American exceptionalism in life expectancy.</w:t>
      </w:r>
      <w:r w:rsidR="002810E6" w:rsidRPr="00B84387">
        <w:rPr>
          <w:rFonts w:ascii="Times New Roman" w:hAnsi="Times New Roman" w:cs="Times New Roman"/>
          <w:b/>
          <w:bCs/>
          <w:sz w:val="24"/>
          <w:szCs w:val="24"/>
        </w:rPr>
        <w:t xml:space="preserve"> </w:t>
      </w:r>
      <w:r w:rsidR="00237541" w:rsidRPr="00B84387">
        <w:rPr>
          <w:rFonts w:ascii="Times New Roman" w:hAnsi="Times New Roman" w:cs="Times New Roman"/>
          <w:sz w:val="24"/>
          <w:szCs w:val="24"/>
        </w:rPr>
        <w:t>The 20</w:t>
      </w:r>
      <w:r w:rsidR="00237541" w:rsidRPr="00B84387">
        <w:rPr>
          <w:rFonts w:ascii="Times New Roman" w:hAnsi="Times New Roman" w:cs="Times New Roman"/>
          <w:sz w:val="24"/>
          <w:szCs w:val="24"/>
          <w:vertAlign w:val="superscript"/>
        </w:rPr>
        <w:t>th</w:t>
      </w:r>
      <w:r w:rsidR="00237541" w:rsidRPr="00B84387">
        <w:rPr>
          <w:rFonts w:ascii="Times New Roman" w:hAnsi="Times New Roman" w:cs="Times New Roman"/>
          <w:sz w:val="24"/>
          <w:szCs w:val="24"/>
        </w:rPr>
        <w:t xml:space="preserve"> century was characterized by rapid</w:t>
      </w:r>
      <w:r w:rsidR="00263B50" w:rsidRPr="00B84387">
        <w:rPr>
          <w:rFonts w:ascii="Times New Roman" w:hAnsi="Times New Roman" w:cs="Times New Roman"/>
          <w:sz w:val="24"/>
          <w:szCs w:val="24"/>
        </w:rPr>
        <w:t xml:space="preserve">, global </w:t>
      </w:r>
      <w:r w:rsidR="00237541" w:rsidRPr="00B84387">
        <w:rPr>
          <w:rFonts w:ascii="Times New Roman" w:hAnsi="Times New Roman" w:cs="Times New Roman"/>
          <w:sz w:val="24"/>
          <w:szCs w:val="24"/>
        </w:rPr>
        <w:t>increase</w:t>
      </w:r>
      <w:r w:rsidR="0036140D" w:rsidRPr="00B84387">
        <w:rPr>
          <w:rFonts w:ascii="Times New Roman" w:hAnsi="Times New Roman" w:cs="Times New Roman"/>
          <w:sz w:val="24"/>
          <w:szCs w:val="24"/>
        </w:rPr>
        <w:t>s</w:t>
      </w:r>
      <w:r w:rsidR="00237541" w:rsidRPr="00B84387">
        <w:rPr>
          <w:rFonts w:ascii="Times New Roman" w:hAnsi="Times New Roman" w:cs="Times New Roman"/>
          <w:sz w:val="24"/>
          <w:szCs w:val="24"/>
        </w:rPr>
        <w:t xml:space="preserve"> in human life expectancy</w:t>
      </w:r>
      <w:r w:rsidR="00DD4DEA" w:rsidRPr="00B84387">
        <w:rPr>
          <w:rFonts w:ascii="Times New Roman" w:hAnsi="Times New Roman" w:cs="Times New Roman"/>
          <w:sz w:val="24"/>
          <w:szCs w:val="24"/>
        </w:rPr>
        <w:t xml:space="preserve"> (1,2)</w:t>
      </w:r>
      <w:r w:rsidR="00237541" w:rsidRPr="00B84387">
        <w:rPr>
          <w:rFonts w:ascii="Times New Roman" w:hAnsi="Times New Roman" w:cs="Times New Roman"/>
          <w:sz w:val="24"/>
          <w:szCs w:val="24"/>
        </w:rPr>
        <w:t xml:space="preserve">. In the United States and other economically developed countries, early gains were the result of medical advances and improvements in sanitation, while gains in the latter half of the century were driven by improved survival among people with chronic disease. </w:t>
      </w:r>
      <w:r w:rsidR="0036140D" w:rsidRPr="00B84387">
        <w:rPr>
          <w:rFonts w:ascii="Times New Roman" w:hAnsi="Times New Roman" w:cs="Times New Roman"/>
          <w:sz w:val="24"/>
          <w:szCs w:val="24"/>
        </w:rPr>
        <w:t>However, these hard-won gains in population health and healthy aging appear to be eroding in the United States, raising alarms among politicians, policymakers, and the lay public alike</w:t>
      </w:r>
      <w:r w:rsidR="00696E1E" w:rsidRPr="00B84387">
        <w:rPr>
          <w:rFonts w:ascii="Times New Roman" w:hAnsi="Times New Roman" w:cs="Times New Roman"/>
          <w:sz w:val="24"/>
          <w:szCs w:val="24"/>
        </w:rPr>
        <w:t xml:space="preserve"> </w:t>
      </w:r>
      <w:r w:rsidR="00696E1E" w:rsidRPr="00B84387">
        <w:rPr>
          <w:rFonts w:ascii="Times New Roman" w:hAnsi="Times New Roman" w:cs="Times New Roman"/>
          <w:kern w:val="0"/>
          <w:sz w:val="24"/>
          <w:szCs w:val="24"/>
        </w:rPr>
        <w:t>(3–6)</w:t>
      </w:r>
      <w:r w:rsidR="0036140D" w:rsidRPr="00B84387">
        <w:rPr>
          <w:rFonts w:ascii="Times New Roman" w:hAnsi="Times New Roman" w:cs="Times New Roman"/>
          <w:sz w:val="24"/>
          <w:szCs w:val="24"/>
        </w:rPr>
        <w:t xml:space="preserve">. </w:t>
      </w:r>
      <w:r w:rsidR="002223ED" w:rsidRPr="00B84387">
        <w:rPr>
          <w:rFonts w:ascii="Times New Roman" w:hAnsi="Times New Roman" w:cs="Times New Roman"/>
          <w:sz w:val="24"/>
          <w:szCs w:val="24"/>
        </w:rPr>
        <w:t>U.S. life expectancy has stagnated since 2010</w:t>
      </w:r>
      <w:r w:rsidR="00696E1E" w:rsidRPr="00B84387">
        <w:rPr>
          <w:rFonts w:ascii="Times New Roman" w:hAnsi="Times New Roman" w:cs="Times New Roman"/>
          <w:sz w:val="24"/>
          <w:szCs w:val="24"/>
        </w:rPr>
        <w:t xml:space="preserve"> </w:t>
      </w:r>
      <w:r w:rsidR="00696E1E" w:rsidRPr="00B84387">
        <w:rPr>
          <w:rFonts w:ascii="Times New Roman" w:hAnsi="Times New Roman" w:cs="Times New Roman"/>
          <w:kern w:val="0"/>
          <w:sz w:val="24"/>
          <w:szCs w:val="24"/>
        </w:rPr>
        <w:t>(7–9)</w:t>
      </w:r>
      <w:r w:rsidR="002223ED" w:rsidRPr="00B84387">
        <w:rPr>
          <w:rFonts w:ascii="Times New Roman" w:hAnsi="Times New Roman" w:cs="Times New Roman"/>
          <w:sz w:val="24"/>
          <w:szCs w:val="24"/>
        </w:rPr>
        <w:t>. This observation represents a dubious form of American exceptionalism: before the COVID-19 pandemic, life expectancy continued to increase over this same period in the vast majority of high-GDP countries</w:t>
      </w:r>
      <w:r w:rsidR="006E7F54" w:rsidRPr="00B84387">
        <w:rPr>
          <w:rFonts w:ascii="Times New Roman" w:hAnsi="Times New Roman" w:cs="Times New Roman"/>
          <w:sz w:val="24"/>
          <w:szCs w:val="24"/>
        </w:rPr>
        <w:t xml:space="preserve"> (10)</w:t>
      </w:r>
      <w:r w:rsidR="002223ED" w:rsidRPr="00B84387">
        <w:rPr>
          <w:rFonts w:ascii="Times New Roman" w:hAnsi="Times New Roman" w:cs="Times New Roman"/>
          <w:sz w:val="24"/>
          <w:szCs w:val="24"/>
        </w:rPr>
        <w:t xml:space="preserve">. </w:t>
      </w:r>
    </w:p>
    <w:p w14:paraId="6CB6E234" w14:textId="76C950FD" w:rsidR="00DC02D1" w:rsidRPr="00B84387" w:rsidRDefault="00DC02D1" w:rsidP="00DC02D1">
      <w:pPr>
        <w:ind w:firstLine="720"/>
        <w:rPr>
          <w:rFonts w:ascii="Times New Roman" w:hAnsi="Times New Roman" w:cs="Times New Roman"/>
          <w:sz w:val="24"/>
          <w:szCs w:val="24"/>
        </w:rPr>
      </w:pPr>
      <w:r w:rsidRPr="00B84387">
        <w:rPr>
          <w:rFonts w:ascii="Times New Roman" w:hAnsi="Times New Roman" w:cs="Times New Roman"/>
          <w:sz w:val="24"/>
          <w:szCs w:val="24"/>
        </w:rPr>
        <w:t xml:space="preserve">Several drivers of pre-pandemic </w:t>
      </w:r>
      <w:proofErr w:type="gramStart"/>
      <w:r w:rsidRPr="00B84387">
        <w:rPr>
          <w:rFonts w:ascii="Times New Roman" w:hAnsi="Times New Roman" w:cs="Times New Roman"/>
          <w:sz w:val="24"/>
          <w:szCs w:val="24"/>
        </w:rPr>
        <w:t>decreases</w:t>
      </w:r>
      <w:proofErr w:type="gramEnd"/>
      <w:r w:rsidRPr="00B84387">
        <w:rPr>
          <w:rFonts w:ascii="Times New Roman" w:hAnsi="Times New Roman" w:cs="Times New Roman"/>
          <w:sz w:val="24"/>
          <w:szCs w:val="24"/>
        </w:rPr>
        <w:t xml:space="preserve"> in life expectancy have been identified, including rising young adult and midlife mortality attributable to “deaths of despair” in the wake of the opioid epidemic and Great Recession – i.e., suicide, overdose, and alcohol-related liver disease </w:t>
      </w:r>
      <w:r w:rsidR="00B00621" w:rsidRPr="00B84387">
        <w:rPr>
          <w:rFonts w:ascii="Times New Roman" w:hAnsi="Times New Roman" w:cs="Times New Roman"/>
          <w:sz w:val="24"/>
          <w:szCs w:val="24"/>
        </w:rPr>
        <w:t>(7,9)</w:t>
      </w:r>
      <w:r w:rsidRPr="00B84387">
        <w:rPr>
          <w:rFonts w:ascii="Times New Roman" w:hAnsi="Times New Roman" w:cs="Times New Roman"/>
          <w:sz w:val="24"/>
          <w:szCs w:val="24"/>
        </w:rPr>
        <w:t xml:space="preserve">. While life expectancy declines were not observed until 2014, mortality attributable to these causes was rising as early as the turn of the century- though masked by large reductions in cardiovascular, cancer, and HIV mortality over the same period </w:t>
      </w:r>
      <w:r w:rsidR="00B00621" w:rsidRPr="00B84387">
        <w:rPr>
          <w:rFonts w:ascii="Times New Roman" w:hAnsi="Times New Roman" w:cs="Times New Roman"/>
          <w:sz w:val="24"/>
          <w:szCs w:val="24"/>
        </w:rPr>
        <w:t>(7,11)</w:t>
      </w:r>
      <w:r w:rsidRPr="00B84387">
        <w:rPr>
          <w:rFonts w:ascii="Times New Roman" w:hAnsi="Times New Roman" w:cs="Times New Roman"/>
          <w:sz w:val="24"/>
          <w:szCs w:val="24"/>
        </w:rPr>
        <w:t>. And while all countries experienced precipitous declines in life expectancy in the wake of the global coronavirus pandemic, early evidence suggests that</w:t>
      </w:r>
      <w:r w:rsidR="004C76BF" w:rsidRPr="00B84387">
        <w:rPr>
          <w:rFonts w:ascii="Times New Roman" w:hAnsi="Times New Roman" w:cs="Times New Roman"/>
          <w:sz w:val="24"/>
          <w:szCs w:val="24"/>
        </w:rPr>
        <w:t xml:space="preserve"> post-pandemic</w:t>
      </w:r>
      <w:r w:rsidRPr="00B84387">
        <w:rPr>
          <w:rFonts w:ascii="Times New Roman" w:hAnsi="Times New Roman" w:cs="Times New Roman"/>
          <w:sz w:val="24"/>
          <w:szCs w:val="24"/>
        </w:rPr>
        <w:t xml:space="preserve"> life expectancy trajectories are recovering more slowly in the United States relative to its peers </w:t>
      </w:r>
      <w:r w:rsidR="00B00621" w:rsidRPr="00B84387">
        <w:rPr>
          <w:rFonts w:ascii="Times New Roman" w:hAnsi="Times New Roman" w:cs="Times New Roman"/>
          <w:sz w:val="24"/>
          <w:szCs w:val="24"/>
        </w:rPr>
        <w:t>(10,12)</w:t>
      </w:r>
      <w:r w:rsidRPr="00B84387">
        <w:rPr>
          <w:rFonts w:ascii="Times New Roman" w:hAnsi="Times New Roman" w:cs="Times New Roman"/>
          <w:sz w:val="24"/>
          <w:szCs w:val="24"/>
        </w:rPr>
        <w:t xml:space="preserve"> – potentially indicating greater underlying vulnerability to adverse health events. </w:t>
      </w:r>
    </w:p>
    <w:p w14:paraId="62775D8F" w14:textId="20559326" w:rsidR="00394861" w:rsidRPr="00B84387" w:rsidRDefault="00210BCB" w:rsidP="00FD0804">
      <w:pPr>
        <w:rPr>
          <w:rFonts w:ascii="Times New Roman" w:hAnsi="Times New Roman" w:cs="Times New Roman"/>
          <w:sz w:val="24"/>
          <w:szCs w:val="24"/>
        </w:rPr>
      </w:pPr>
      <w:r w:rsidRPr="00B84387">
        <w:rPr>
          <w:rFonts w:ascii="Times New Roman" w:hAnsi="Times New Roman" w:cs="Times New Roman"/>
          <w:b/>
          <w:bCs/>
          <w:sz w:val="24"/>
          <w:szCs w:val="24"/>
        </w:rPr>
        <w:lastRenderedPageBreak/>
        <w:t xml:space="preserve">The challenge of </w:t>
      </w:r>
      <w:r w:rsidR="009649F7" w:rsidRPr="00B84387">
        <w:rPr>
          <w:rFonts w:ascii="Times New Roman" w:hAnsi="Times New Roman" w:cs="Times New Roman"/>
          <w:b/>
          <w:bCs/>
          <w:sz w:val="24"/>
          <w:szCs w:val="24"/>
        </w:rPr>
        <w:t xml:space="preserve">interpreting </w:t>
      </w:r>
      <w:r w:rsidR="00865E18" w:rsidRPr="00B84387">
        <w:rPr>
          <w:rFonts w:ascii="Times New Roman" w:hAnsi="Times New Roman" w:cs="Times New Roman"/>
          <w:b/>
          <w:bCs/>
          <w:sz w:val="24"/>
          <w:szCs w:val="24"/>
        </w:rPr>
        <w:t xml:space="preserve">life expectancy </w:t>
      </w:r>
      <w:r w:rsidR="009649F7" w:rsidRPr="00B84387">
        <w:rPr>
          <w:rFonts w:ascii="Times New Roman" w:hAnsi="Times New Roman" w:cs="Times New Roman"/>
          <w:b/>
          <w:bCs/>
          <w:sz w:val="24"/>
          <w:szCs w:val="24"/>
        </w:rPr>
        <w:t>trends in relation to population health status</w:t>
      </w:r>
      <w:r w:rsidR="00865E18" w:rsidRPr="00B84387">
        <w:rPr>
          <w:rFonts w:ascii="Times New Roman" w:hAnsi="Times New Roman" w:cs="Times New Roman"/>
          <w:b/>
          <w:bCs/>
          <w:sz w:val="24"/>
          <w:szCs w:val="24"/>
        </w:rPr>
        <w:t>.</w:t>
      </w:r>
      <w:r w:rsidR="00865E18" w:rsidRPr="00B84387">
        <w:rPr>
          <w:rFonts w:ascii="Times New Roman" w:hAnsi="Times New Roman" w:cs="Times New Roman"/>
          <w:i/>
          <w:iCs/>
          <w:sz w:val="24"/>
          <w:szCs w:val="24"/>
        </w:rPr>
        <w:t xml:space="preserve"> </w:t>
      </w:r>
      <w:r w:rsidR="00FD0804" w:rsidRPr="00B84387">
        <w:rPr>
          <w:rFonts w:ascii="Times New Roman" w:hAnsi="Times New Roman" w:cs="Times New Roman"/>
          <w:sz w:val="24"/>
          <w:szCs w:val="24"/>
        </w:rPr>
        <w:t xml:space="preserve">Life expectancy is a commonly-used measure in public health with origins in the field of demography </w:t>
      </w:r>
      <w:r w:rsidR="00B00621" w:rsidRPr="00B84387">
        <w:rPr>
          <w:rFonts w:ascii="Times New Roman" w:hAnsi="Times New Roman" w:cs="Times New Roman"/>
          <w:sz w:val="24"/>
          <w:szCs w:val="24"/>
        </w:rPr>
        <w:t>(13)</w:t>
      </w:r>
      <w:r w:rsidR="00FD0804" w:rsidRPr="00B84387">
        <w:rPr>
          <w:rFonts w:ascii="Times New Roman" w:hAnsi="Times New Roman" w:cs="Times New Roman"/>
          <w:sz w:val="24"/>
          <w:szCs w:val="24"/>
        </w:rPr>
        <w:t xml:space="preserve">. For a given </w:t>
      </w:r>
      <w:r w:rsidR="008B14D8" w:rsidRPr="00B84387">
        <w:rPr>
          <w:rFonts w:ascii="Times New Roman" w:hAnsi="Times New Roman" w:cs="Times New Roman"/>
          <w:sz w:val="24"/>
          <w:szCs w:val="24"/>
        </w:rPr>
        <w:t>birth cohort</w:t>
      </w:r>
      <w:r w:rsidR="00FD0804" w:rsidRPr="00B84387">
        <w:rPr>
          <w:rFonts w:ascii="Times New Roman" w:hAnsi="Times New Roman" w:cs="Times New Roman"/>
          <w:sz w:val="24"/>
          <w:szCs w:val="24"/>
        </w:rPr>
        <w:t xml:space="preserve">, life expectancy at birth represents the average number of years one would expect to live, </w:t>
      </w:r>
      <w:r w:rsidR="007964F1" w:rsidRPr="00B84387">
        <w:rPr>
          <w:rFonts w:ascii="Times New Roman" w:hAnsi="Times New Roman" w:cs="Times New Roman"/>
          <w:sz w:val="24"/>
          <w:szCs w:val="24"/>
        </w:rPr>
        <w:t>based on the age-specific mortality rates</w:t>
      </w:r>
      <w:r w:rsidR="006E7E27" w:rsidRPr="00B84387">
        <w:rPr>
          <w:rFonts w:ascii="Times New Roman" w:hAnsi="Times New Roman" w:cs="Times New Roman"/>
          <w:sz w:val="24"/>
          <w:szCs w:val="24"/>
        </w:rPr>
        <w:t xml:space="preserve"> observed in the population during the time interval that cohort was born</w:t>
      </w:r>
      <w:r w:rsidR="0066363B" w:rsidRPr="00B84387">
        <w:rPr>
          <w:rFonts w:ascii="Times New Roman" w:hAnsi="Times New Roman" w:cs="Times New Roman"/>
          <w:sz w:val="24"/>
          <w:szCs w:val="24"/>
        </w:rPr>
        <w:t xml:space="preserve"> </w:t>
      </w:r>
      <w:r w:rsidR="00B00621" w:rsidRPr="00B84387">
        <w:rPr>
          <w:rFonts w:ascii="Times New Roman" w:hAnsi="Times New Roman" w:cs="Times New Roman"/>
          <w:sz w:val="24"/>
          <w:szCs w:val="24"/>
        </w:rPr>
        <w:t>(14,15)</w:t>
      </w:r>
      <w:r w:rsidR="00FD0804" w:rsidRPr="00B84387">
        <w:rPr>
          <w:rFonts w:ascii="Times New Roman" w:hAnsi="Times New Roman" w:cs="Times New Roman"/>
          <w:sz w:val="24"/>
          <w:szCs w:val="24"/>
        </w:rPr>
        <w:t xml:space="preserve">. As a cross-sectional </w:t>
      </w:r>
      <w:r w:rsidR="006E7E27" w:rsidRPr="00B84387">
        <w:rPr>
          <w:rFonts w:ascii="Times New Roman" w:hAnsi="Times New Roman" w:cs="Times New Roman"/>
          <w:sz w:val="24"/>
          <w:szCs w:val="24"/>
        </w:rPr>
        <w:t>summary</w:t>
      </w:r>
      <w:r w:rsidR="00FD0804" w:rsidRPr="00B84387">
        <w:rPr>
          <w:rFonts w:ascii="Times New Roman" w:hAnsi="Times New Roman" w:cs="Times New Roman"/>
          <w:sz w:val="24"/>
          <w:szCs w:val="24"/>
        </w:rPr>
        <w:t xml:space="preserve"> of age-specific mortality risk, life expectancy thus tells us whether people in a defined population are dying earlier or later compared to past periods. This is useful</w:t>
      </w:r>
      <w:r w:rsidR="007E0D7E" w:rsidRPr="00B84387">
        <w:rPr>
          <w:rFonts w:ascii="Times New Roman" w:hAnsi="Times New Roman" w:cs="Times New Roman"/>
          <w:sz w:val="24"/>
          <w:szCs w:val="24"/>
        </w:rPr>
        <w:t xml:space="preserve"> for within- and cross-</w:t>
      </w:r>
      <w:r w:rsidR="00FD0804" w:rsidRPr="00B84387">
        <w:rPr>
          <w:rFonts w:ascii="Times New Roman" w:hAnsi="Times New Roman" w:cs="Times New Roman"/>
          <w:sz w:val="24"/>
          <w:szCs w:val="24"/>
        </w:rPr>
        <w:t xml:space="preserve">population </w:t>
      </w:r>
      <w:r w:rsidR="007E0D7E" w:rsidRPr="00B84387">
        <w:rPr>
          <w:rFonts w:ascii="Times New Roman" w:hAnsi="Times New Roman" w:cs="Times New Roman"/>
          <w:sz w:val="24"/>
          <w:szCs w:val="24"/>
        </w:rPr>
        <w:t>comparisons</w:t>
      </w:r>
      <w:r w:rsidR="00FD0804" w:rsidRPr="00B84387">
        <w:rPr>
          <w:rFonts w:ascii="Times New Roman" w:hAnsi="Times New Roman" w:cs="Times New Roman"/>
          <w:sz w:val="24"/>
          <w:szCs w:val="24"/>
        </w:rPr>
        <w:t>, with life expectancy consistently demonstrating expected social gradients in health (e.g., educational attainment, social class, racialized group membership, etc.)</w:t>
      </w:r>
      <w:r w:rsidR="004B2DEC" w:rsidRPr="00B84387">
        <w:rPr>
          <w:rFonts w:ascii="Times New Roman" w:hAnsi="Times New Roman" w:cs="Times New Roman"/>
          <w:sz w:val="24"/>
          <w:szCs w:val="24"/>
        </w:rPr>
        <w:t xml:space="preserve"> </w:t>
      </w:r>
      <w:r w:rsidR="00B00621" w:rsidRPr="00B84387">
        <w:rPr>
          <w:rFonts w:ascii="Times New Roman" w:hAnsi="Times New Roman" w:cs="Times New Roman"/>
          <w:kern w:val="0"/>
          <w:sz w:val="24"/>
          <w:szCs w:val="24"/>
        </w:rPr>
        <w:t>(7,16–18)</w:t>
      </w:r>
      <w:r w:rsidR="00FD0804" w:rsidRPr="00B84387">
        <w:rPr>
          <w:rFonts w:ascii="Times New Roman" w:hAnsi="Times New Roman" w:cs="Times New Roman"/>
          <w:sz w:val="24"/>
          <w:szCs w:val="24"/>
        </w:rPr>
        <w:t xml:space="preserve">. </w:t>
      </w:r>
      <w:r w:rsidR="00B65241" w:rsidRPr="00B84387">
        <w:rPr>
          <w:rFonts w:ascii="Times New Roman" w:hAnsi="Times New Roman" w:cs="Times New Roman"/>
          <w:sz w:val="24"/>
          <w:szCs w:val="24"/>
        </w:rPr>
        <w:t xml:space="preserve">Longitudinal analyses </w:t>
      </w:r>
      <w:r w:rsidR="00FD0804" w:rsidRPr="00B84387">
        <w:rPr>
          <w:rFonts w:ascii="Times New Roman" w:hAnsi="Times New Roman" w:cs="Times New Roman"/>
          <w:sz w:val="24"/>
          <w:szCs w:val="24"/>
        </w:rPr>
        <w:t xml:space="preserve">and subgroup comparisons </w:t>
      </w:r>
      <w:r w:rsidR="00B65241" w:rsidRPr="00B84387">
        <w:rPr>
          <w:rFonts w:ascii="Times New Roman" w:hAnsi="Times New Roman" w:cs="Times New Roman"/>
          <w:sz w:val="24"/>
          <w:szCs w:val="24"/>
        </w:rPr>
        <w:t>thus represent</w:t>
      </w:r>
      <w:r w:rsidR="00FD0804" w:rsidRPr="00B84387">
        <w:rPr>
          <w:rFonts w:ascii="Times New Roman" w:hAnsi="Times New Roman" w:cs="Times New Roman"/>
          <w:sz w:val="24"/>
          <w:szCs w:val="24"/>
        </w:rPr>
        <w:t xml:space="preserve"> an important indicator of demographic change. </w:t>
      </w:r>
    </w:p>
    <w:p w14:paraId="500AA2B0" w14:textId="60276AFD" w:rsidR="00FD0804" w:rsidRPr="00B84387" w:rsidRDefault="00FD0804" w:rsidP="00E00B26">
      <w:pPr>
        <w:ind w:firstLine="720"/>
        <w:rPr>
          <w:rFonts w:ascii="Times New Roman" w:hAnsi="Times New Roman" w:cs="Times New Roman"/>
          <w:sz w:val="24"/>
          <w:szCs w:val="24"/>
        </w:rPr>
      </w:pPr>
      <w:r w:rsidRPr="00B84387">
        <w:rPr>
          <w:rFonts w:ascii="Times New Roman" w:hAnsi="Times New Roman" w:cs="Times New Roman"/>
          <w:sz w:val="24"/>
          <w:szCs w:val="24"/>
        </w:rPr>
        <w:t>However, life expectancy also has important limitations as an indicator of population health.</w:t>
      </w:r>
      <w:r w:rsidR="00394861" w:rsidRPr="00B84387">
        <w:rPr>
          <w:rFonts w:ascii="Times New Roman" w:hAnsi="Times New Roman" w:cs="Times New Roman"/>
          <w:sz w:val="24"/>
          <w:szCs w:val="24"/>
        </w:rPr>
        <w:t xml:space="preserve"> </w:t>
      </w:r>
      <w:r w:rsidRPr="00B84387">
        <w:rPr>
          <w:rFonts w:ascii="Times New Roman" w:hAnsi="Times New Roman" w:cs="Times New Roman"/>
          <w:sz w:val="24"/>
          <w:szCs w:val="24"/>
        </w:rPr>
        <w:t>First, and perhaps most importantly, life expectancy is a measure of mortality: it measures the age at which people die, rather than the health status of living persons</w:t>
      </w:r>
      <w:r w:rsidR="00394861" w:rsidRPr="00B84387">
        <w:rPr>
          <w:rFonts w:ascii="Times New Roman" w:hAnsi="Times New Roman" w:cs="Times New Roman"/>
          <w:sz w:val="24"/>
          <w:szCs w:val="24"/>
        </w:rPr>
        <w:t xml:space="preserve"> </w:t>
      </w:r>
      <w:r w:rsidR="00B00621" w:rsidRPr="00B84387">
        <w:rPr>
          <w:rFonts w:ascii="Times New Roman" w:hAnsi="Times New Roman" w:cs="Times New Roman"/>
          <w:sz w:val="24"/>
          <w:szCs w:val="24"/>
        </w:rPr>
        <w:t>(14)</w:t>
      </w:r>
      <w:r w:rsidRPr="00B84387">
        <w:rPr>
          <w:rFonts w:ascii="Times New Roman" w:hAnsi="Times New Roman" w:cs="Times New Roman"/>
          <w:sz w:val="24"/>
          <w:szCs w:val="24"/>
        </w:rPr>
        <w:t>. When life expectancy is used to describe the health state of living populations, a strong but potentially fallacious assumption is often made: that mortality risk translates neatly to decrements in health status among those still living. This may not be true</w:t>
      </w:r>
      <w:r w:rsidR="00143B2B" w:rsidRPr="00B84387">
        <w:rPr>
          <w:rFonts w:ascii="Times New Roman" w:hAnsi="Times New Roman" w:cs="Times New Roman"/>
          <w:sz w:val="24"/>
          <w:szCs w:val="24"/>
        </w:rPr>
        <w:t xml:space="preserve"> if</w:t>
      </w:r>
      <w:r w:rsidRPr="00B84387">
        <w:rPr>
          <w:rFonts w:ascii="Times New Roman" w:hAnsi="Times New Roman" w:cs="Times New Roman"/>
          <w:sz w:val="24"/>
          <w:szCs w:val="24"/>
        </w:rPr>
        <w:t xml:space="preserve"> the groups at greatest risk of dying </w:t>
      </w:r>
      <w:r w:rsidR="00143B2B" w:rsidRPr="00B84387">
        <w:rPr>
          <w:rFonts w:ascii="Times New Roman" w:hAnsi="Times New Roman" w:cs="Times New Roman"/>
          <w:sz w:val="24"/>
          <w:szCs w:val="24"/>
        </w:rPr>
        <w:t xml:space="preserve">are </w:t>
      </w:r>
      <w:r w:rsidRPr="00B84387">
        <w:rPr>
          <w:rFonts w:ascii="Times New Roman" w:hAnsi="Times New Roman" w:cs="Times New Roman"/>
          <w:sz w:val="24"/>
          <w:szCs w:val="24"/>
        </w:rPr>
        <w:t xml:space="preserve">not </w:t>
      </w:r>
      <w:r w:rsidR="00143B2B" w:rsidRPr="00B84387">
        <w:rPr>
          <w:rFonts w:ascii="Times New Roman" w:hAnsi="Times New Roman" w:cs="Times New Roman"/>
          <w:sz w:val="24"/>
          <w:szCs w:val="24"/>
        </w:rPr>
        <w:t xml:space="preserve">those who experience </w:t>
      </w:r>
      <w:r w:rsidRPr="00B84387">
        <w:rPr>
          <w:rFonts w:ascii="Times New Roman" w:hAnsi="Times New Roman" w:cs="Times New Roman"/>
          <w:sz w:val="24"/>
          <w:szCs w:val="24"/>
        </w:rPr>
        <w:t xml:space="preserve">the </w:t>
      </w:r>
      <w:r w:rsidR="00143B2B" w:rsidRPr="00B84387">
        <w:rPr>
          <w:rFonts w:ascii="Times New Roman" w:hAnsi="Times New Roman" w:cs="Times New Roman"/>
          <w:sz w:val="24"/>
          <w:szCs w:val="24"/>
        </w:rPr>
        <w:t xml:space="preserve">greatest </w:t>
      </w:r>
      <w:r w:rsidR="004F1C41" w:rsidRPr="00B84387">
        <w:rPr>
          <w:rFonts w:ascii="Times New Roman" w:hAnsi="Times New Roman" w:cs="Times New Roman"/>
          <w:sz w:val="24"/>
          <w:szCs w:val="24"/>
        </w:rPr>
        <w:t xml:space="preserve">decline in health status </w:t>
      </w:r>
      <w:r w:rsidRPr="00B84387">
        <w:rPr>
          <w:rFonts w:ascii="Times New Roman" w:hAnsi="Times New Roman" w:cs="Times New Roman"/>
          <w:sz w:val="24"/>
          <w:szCs w:val="24"/>
        </w:rPr>
        <w:t xml:space="preserve">among those still living. Measures are </w:t>
      </w:r>
      <w:r w:rsidR="005A775B" w:rsidRPr="00B84387">
        <w:rPr>
          <w:rFonts w:ascii="Times New Roman" w:hAnsi="Times New Roman" w:cs="Times New Roman"/>
          <w:sz w:val="24"/>
          <w:szCs w:val="24"/>
        </w:rPr>
        <w:t xml:space="preserve">therefore </w:t>
      </w:r>
      <w:r w:rsidRPr="00B84387">
        <w:rPr>
          <w:rFonts w:ascii="Times New Roman" w:hAnsi="Times New Roman" w:cs="Times New Roman"/>
          <w:sz w:val="24"/>
          <w:szCs w:val="24"/>
        </w:rPr>
        <w:t>needed which provide direct</w:t>
      </w:r>
      <w:r w:rsidR="00431B76" w:rsidRPr="00B84387">
        <w:rPr>
          <w:rFonts w:ascii="Times New Roman" w:hAnsi="Times New Roman" w:cs="Times New Roman"/>
          <w:sz w:val="24"/>
          <w:szCs w:val="24"/>
        </w:rPr>
        <w:t>,</w:t>
      </w:r>
      <w:r w:rsidRPr="00B84387">
        <w:rPr>
          <w:rFonts w:ascii="Times New Roman" w:hAnsi="Times New Roman" w:cs="Times New Roman"/>
          <w:sz w:val="24"/>
          <w:szCs w:val="24"/>
        </w:rPr>
        <w:t xml:space="preserve"> rather than proxy</w:t>
      </w:r>
      <w:r w:rsidR="00431B76" w:rsidRPr="00B84387">
        <w:rPr>
          <w:rFonts w:ascii="Times New Roman" w:hAnsi="Times New Roman" w:cs="Times New Roman"/>
          <w:sz w:val="24"/>
          <w:szCs w:val="24"/>
        </w:rPr>
        <w:t>,</w:t>
      </w:r>
      <w:r w:rsidRPr="00B84387">
        <w:rPr>
          <w:rFonts w:ascii="Times New Roman" w:hAnsi="Times New Roman" w:cs="Times New Roman"/>
          <w:sz w:val="24"/>
          <w:szCs w:val="24"/>
        </w:rPr>
        <w:t xml:space="preserve"> measurements of health status. Second, life expectancy cannot provide information about the effects of harmful exposures at timescales appropriate for intervention. Knowing </w:t>
      </w:r>
      <w:r w:rsidR="000A7488" w:rsidRPr="00B84387">
        <w:rPr>
          <w:rFonts w:ascii="Times New Roman" w:hAnsi="Times New Roman" w:cs="Times New Roman"/>
          <w:sz w:val="24"/>
          <w:szCs w:val="24"/>
        </w:rPr>
        <w:t>the population groups</w:t>
      </w:r>
      <w:r w:rsidRPr="00B84387">
        <w:rPr>
          <w:rFonts w:ascii="Times New Roman" w:hAnsi="Times New Roman" w:cs="Times New Roman"/>
          <w:sz w:val="24"/>
          <w:szCs w:val="24"/>
        </w:rPr>
        <w:t xml:space="preserve"> at greatest risk of dying today does not tell us </w:t>
      </w:r>
      <w:r w:rsidR="000A7488" w:rsidRPr="00B84387">
        <w:rPr>
          <w:rFonts w:ascii="Times New Roman" w:hAnsi="Times New Roman" w:cs="Times New Roman"/>
          <w:sz w:val="24"/>
          <w:szCs w:val="24"/>
        </w:rPr>
        <w:t xml:space="preserve">whether those same groups are at highest risk </w:t>
      </w:r>
      <w:r w:rsidRPr="00B84387">
        <w:rPr>
          <w:rFonts w:ascii="Times New Roman" w:hAnsi="Times New Roman" w:cs="Times New Roman"/>
          <w:sz w:val="24"/>
          <w:szCs w:val="24"/>
        </w:rPr>
        <w:t xml:space="preserve">of </w:t>
      </w:r>
      <w:r w:rsidR="00981578" w:rsidRPr="00B84387">
        <w:rPr>
          <w:rFonts w:ascii="Times New Roman" w:hAnsi="Times New Roman" w:cs="Times New Roman"/>
          <w:sz w:val="24"/>
          <w:szCs w:val="24"/>
        </w:rPr>
        <w:t>disease and disability</w:t>
      </w:r>
      <w:r w:rsidRPr="00B84387">
        <w:rPr>
          <w:rFonts w:ascii="Times New Roman" w:hAnsi="Times New Roman" w:cs="Times New Roman"/>
          <w:sz w:val="24"/>
          <w:szCs w:val="24"/>
        </w:rPr>
        <w:t xml:space="preserve"> in the future. Measures are needed that can evaluate </w:t>
      </w:r>
      <w:r w:rsidR="00AA36EF" w:rsidRPr="00B84387">
        <w:rPr>
          <w:rFonts w:ascii="Times New Roman" w:hAnsi="Times New Roman" w:cs="Times New Roman"/>
          <w:sz w:val="24"/>
          <w:szCs w:val="24"/>
        </w:rPr>
        <w:t>the</w:t>
      </w:r>
      <w:r w:rsidRPr="00B84387">
        <w:rPr>
          <w:rFonts w:ascii="Times New Roman" w:hAnsi="Times New Roman" w:cs="Times New Roman"/>
          <w:sz w:val="24"/>
          <w:szCs w:val="24"/>
        </w:rPr>
        <w:t xml:space="preserve"> health trajectories of </w:t>
      </w:r>
      <w:r w:rsidRPr="00B84387">
        <w:rPr>
          <w:rFonts w:ascii="Times New Roman" w:hAnsi="Times New Roman" w:cs="Times New Roman"/>
          <w:i/>
          <w:iCs/>
          <w:sz w:val="24"/>
          <w:szCs w:val="24"/>
        </w:rPr>
        <w:t xml:space="preserve">living </w:t>
      </w:r>
      <w:r w:rsidRPr="00B84387">
        <w:rPr>
          <w:rFonts w:ascii="Times New Roman" w:hAnsi="Times New Roman" w:cs="Times New Roman"/>
          <w:sz w:val="24"/>
          <w:szCs w:val="24"/>
        </w:rPr>
        <w:t>individuals, at younger ages</w:t>
      </w:r>
      <w:r w:rsidR="00825A26" w:rsidRPr="00B84387">
        <w:rPr>
          <w:rFonts w:ascii="Times New Roman" w:hAnsi="Times New Roman" w:cs="Times New Roman"/>
          <w:sz w:val="24"/>
          <w:szCs w:val="24"/>
        </w:rPr>
        <w:t xml:space="preserve"> and </w:t>
      </w:r>
      <w:r w:rsidRPr="00B84387">
        <w:rPr>
          <w:rFonts w:ascii="Times New Roman" w:hAnsi="Times New Roman" w:cs="Times New Roman"/>
          <w:sz w:val="24"/>
          <w:szCs w:val="24"/>
        </w:rPr>
        <w:t xml:space="preserve">before the onset of disease and disability </w:t>
      </w:r>
      <w:r w:rsidR="00B00621" w:rsidRPr="00B84387">
        <w:rPr>
          <w:rFonts w:ascii="Times New Roman" w:hAnsi="Times New Roman" w:cs="Times New Roman"/>
          <w:sz w:val="24"/>
          <w:szCs w:val="24"/>
        </w:rPr>
        <w:t>(19,20)</w:t>
      </w:r>
      <w:r w:rsidRPr="00B84387">
        <w:rPr>
          <w:rFonts w:ascii="Times New Roman" w:hAnsi="Times New Roman" w:cs="Times New Roman"/>
          <w:sz w:val="24"/>
          <w:szCs w:val="24"/>
        </w:rPr>
        <w:t>. Finally, life expectancy does not account for the changing meaning of chronological age over time. As noted in the pioneering work of Sanderson and Scherbov, increases in lifespan are often accompanie</w:t>
      </w:r>
      <w:r w:rsidR="00C14E9E" w:rsidRPr="00B84387">
        <w:rPr>
          <w:rFonts w:ascii="Times New Roman" w:hAnsi="Times New Roman" w:cs="Times New Roman"/>
          <w:sz w:val="24"/>
          <w:szCs w:val="24"/>
        </w:rPr>
        <w:t>d</w:t>
      </w:r>
      <w:r w:rsidRPr="00B84387">
        <w:rPr>
          <w:rFonts w:ascii="Times New Roman" w:hAnsi="Times New Roman" w:cs="Times New Roman"/>
          <w:sz w:val="24"/>
          <w:szCs w:val="24"/>
        </w:rPr>
        <w:t xml:space="preserve"> by corresponding increases in healthspan</w:t>
      </w:r>
      <w:r w:rsidR="00355E0C" w:rsidRPr="00B84387">
        <w:rPr>
          <w:rFonts w:ascii="Times New Roman" w:hAnsi="Times New Roman" w:cs="Times New Roman"/>
          <w:sz w:val="24"/>
          <w:szCs w:val="24"/>
        </w:rPr>
        <w:t xml:space="preserve"> </w:t>
      </w:r>
      <w:r w:rsidR="00B00621" w:rsidRPr="00B84387">
        <w:rPr>
          <w:rFonts w:ascii="Times New Roman" w:hAnsi="Times New Roman" w:cs="Times New Roman"/>
          <w:sz w:val="24"/>
          <w:szCs w:val="24"/>
        </w:rPr>
        <w:t>(21)</w:t>
      </w:r>
      <w:r w:rsidRPr="00B84387">
        <w:rPr>
          <w:rFonts w:ascii="Times New Roman" w:hAnsi="Times New Roman" w:cs="Times New Roman"/>
          <w:sz w:val="24"/>
          <w:szCs w:val="24"/>
        </w:rPr>
        <w:t xml:space="preserve">. Accurate measurement of population health trajectories depends on whether measures of population health can account for </w:t>
      </w:r>
      <w:r w:rsidR="00AA0EA1" w:rsidRPr="00B84387">
        <w:rPr>
          <w:rFonts w:ascii="Times New Roman" w:hAnsi="Times New Roman" w:cs="Times New Roman"/>
          <w:sz w:val="24"/>
          <w:szCs w:val="24"/>
        </w:rPr>
        <w:t>secular trends in</w:t>
      </w:r>
      <w:r w:rsidR="009C0466" w:rsidRPr="00B84387">
        <w:rPr>
          <w:rFonts w:ascii="Times New Roman" w:hAnsi="Times New Roman" w:cs="Times New Roman"/>
          <w:sz w:val="24"/>
          <w:szCs w:val="24"/>
        </w:rPr>
        <w:t xml:space="preserve"> in</w:t>
      </w:r>
      <w:r w:rsidR="001B36EC" w:rsidRPr="00B84387">
        <w:rPr>
          <w:rFonts w:ascii="Times New Roman" w:hAnsi="Times New Roman" w:cs="Times New Roman"/>
          <w:sz w:val="24"/>
          <w:szCs w:val="24"/>
        </w:rPr>
        <w:t xml:space="preserve"> age-related</w:t>
      </w:r>
      <w:r w:rsidR="009C0466" w:rsidRPr="00B84387">
        <w:rPr>
          <w:rFonts w:ascii="Times New Roman" w:hAnsi="Times New Roman" w:cs="Times New Roman"/>
          <w:sz w:val="24"/>
          <w:szCs w:val="24"/>
        </w:rPr>
        <w:t xml:space="preserve"> health status over time</w:t>
      </w:r>
      <w:r w:rsidRPr="00B84387">
        <w:rPr>
          <w:rFonts w:ascii="Times New Roman" w:hAnsi="Times New Roman" w:cs="Times New Roman"/>
          <w:sz w:val="24"/>
          <w:szCs w:val="24"/>
        </w:rPr>
        <w:t>.</w:t>
      </w:r>
    </w:p>
    <w:p w14:paraId="5AE1EA51" w14:textId="075A3B0E" w:rsidR="00FD0804" w:rsidRPr="00B84387" w:rsidRDefault="00C044AA" w:rsidP="00E00B26">
      <w:pPr>
        <w:ind w:firstLine="720"/>
        <w:rPr>
          <w:rFonts w:ascii="Times New Roman" w:hAnsi="Times New Roman" w:cs="Times New Roman"/>
          <w:sz w:val="24"/>
          <w:szCs w:val="24"/>
        </w:rPr>
      </w:pPr>
      <w:r w:rsidRPr="00B84387">
        <w:rPr>
          <w:rFonts w:ascii="Times New Roman" w:hAnsi="Times New Roman" w:cs="Times New Roman"/>
          <w:sz w:val="24"/>
          <w:szCs w:val="24"/>
        </w:rPr>
        <w:t>E</w:t>
      </w:r>
      <w:r w:rsidR="007138FE" w:rsidRPr="00B84387">
        <w:rPr>
          <w:rFonts w:ascii="Times New Roman" w:hAnsi="Times New Roman" w:cs="Times New Roman"/>
          <w:sz w:val="24"/>
          <w:szCs w:val="24"/>
        </w:rPr>
        <w:t xml:space="preserve">arly observations of stagnating life expectancy were </w:t>
      </w:r>
      <w:r w:rsidRPr="00B84387">
        <w:rPr>
          <w:rFonts w:ascii="Times New Roman" w:hAnsi="Times New Roman" w:cs="Times New Roman"/>
          <w:sz w:val="24"/>
          <w:szCs w:val="24"/>
        </w:rPr>
        <w:t xml:space="preserve">driven by an increase in “despair”-driven mortality among </w:t>
      </w:r>
      <w:r w:rsidR="007138FE" w:rsidRPr="00B84387">
        <w:rPr>
          <w:rFonts w:ascii="Times New Roman" w:hAnsi="Times New Roman" w:cs="Times New Roman"/>
          <w:sz w:val="24"/>
          <w:szCs w:val="24"/>
        </w:rPr>
        <w:t xml:space="preserve">White men in </w:t>
      </w:r>
      <w:r w:rsidR="00122DEE" w:rsidRPr="00B84387">
        <w:rPr>
          <w:rFonts w:ascii="Times New Roman" w:hAnsi="Times New Roman" w:cs="Times New Roman"/>
          <w:sz w:val="24"/>
          <w:szCs w:val="24"/>
        </w:rPr>
        <w:t xml:space="preserve">young and </w:t>
      </w:r>
      <w:r w:rsidR="007138FE" w:rsidRPr="00B84387">
        <w:rPr>
          <w:rFonts w:ascii="Times New Roman" w:hAnsi="Times New Roman" w:cs="Times New Roman"/>
          <w:sz w:val="24"/>
          <w:szCs w:val="24"/>
        </w:rPr>
        <w:t>middle adulthood</w:t>
      </w:r>
      <w:r w:rsidR="00122DEE" w:rsidRPr="00B84387">
        <w:rPr>
          <w:rFonts w:ascii="Times New Roman" w:hAnsi="Times New Roman" w:cs="Times New Roman"/>
          <w:sz w:val="24"/>
          <w:szCs w:val="24"/>
        </w:rPr>
        <w:t xml:space="preserve"> </w:t>
      </w:r>
      <w:r w:rsidR="00DA4DDE" w:rsidRPr="00B84387">
        <w:rPr>
          <w:rFonts w:ascii="Times New Roman" w:hAnsi="Times New Roman" w:cs="Times New Roman"/>
          <w:sz w:val="24"/>
          <w:szCs w:val="24"/>
        </w:rPr>
        <w:t>(7,9)</w:t>
      </w:r>
      <w:r w:rsidR="007138FE" w:rsidRPr="00B84387">
        <w:rPr>
          <w:rFonts w:ascii="Times New Roman" w:hAnsi="Times New Roman" w:cs="Times New Roman"/>
          <w:sz w:val="24"/>
          <w:szCs w:val="24"/>
        </w:rPr>
        <w:t xml:space="preserve">. More recently, mortality from drug overdose has also increased </w:t>
      </w:r>
      <w:r w:rsidR="000742A9" w:rsidRPr="00B84387">
        <w:rPr>
          <w:rFonts w:ascii="Times New Roman" w:hAnsi="Times New Roman" w:cs="Times New Roman"/>
          <w:sz w:val="24"/>
          <w:szCs w:val="24"/>
        </w:rPr>
        <w:t>among</w:t>
      </w:r>
      <w:r w:rsidR="007138FE" w:rsidRPr="00B84387">
        <w:rPr>
          <w:rFonts w:ascii="Times New Roman" w:hAnsi="Times New Roman" w:cs="Times New Roman"/>
          <w:sz w:val="24"/>
          <w:szCs w:val="24"/>
        </w:rPr>
        <w:t xml:space="preserve"> non-Hispanic Black and Native American men, surpassing rates observed among White men in the first decade of the 21st century and suggesting broader population impacts than initially observed</w:t>
      </w:r>
      <w:r w:rsidR="00BF36EF" w:rsidRPr="00B84387">
        <w:rPr>
          <w:rFonts w:ascii="Times New Roman" w:hAnsi="Times New Roman" w:cs="Times New Roman"/>
          <w:sz w:val="24"/>
          <w:szCs w:val="24"/>
        </w:rPr>
        <w:t xml:space="preserve"> </w:t>
      </w:r>
      <w:r w:rsidR="00B00621" w:rsidRPr="00B84387">
        <w:rPr>
          <w:rFonts w:ascii="Times New Roman" w:hAnsi="Times New Roman" w:cs="Times New Roman"/>
          <w:kern w:val="0"/>
          <w:sz w:val="24"/>
          <w:szCs w:val="24"/>
        </w:rPr>
        <w:t>(22–24)</w:t>
      </w:r>
      <w:r w:rsidR="007138FE" w:rsidRPr="00B84387">
        <w:rPr>
          <w:rFonts w:ascii="Times New Roman" w:hAnsi="Times New Roman" w:cs="Times New Roman"/>
          <w:sz w:val="24"/>
          <w:szCs w:val="24"/>
        </w:rPr>
        <w:t xml:space="preserve">. How the causes of these excess deaths impact health trajectories in these and other population groups, including women and birth cohorts in other life course stages, remains unknown. </w:t>
      </w:r>
      <w:r w:rsidR="00BF36EF" w:rsidRPr="00B84387">
        <w:rPr>
          <w:rFonts w:ascii="Times New Roman" w:hAnsi="Times New Roman" w:cs="Times New Roman"/>
          <w:sz w:val="24"/>
          <w:szCs w:val="24"/>
        </w:rPr>
        <w:t xml:space="preserve">On the one hand, recently observed “deaths of despair” may represent the tip of an iceberg signaling broad shifts in morbidity and mortality. The causes of these deaths, including mental health problems and substance use disorders, could be compromising long-term health trajectories </w:t>
      </w:r>
      <w:r w:rsidR="000955AD" w:rsidRPr="00B84387">
        <w:rPr>
          <w:rFonts w:ascii="Times New Roman" w:hAnsi="Times New Roman" w:cs="Times New Roman"/>
          <w:sz w:val="24"/>
          <w:szCs w:val="24"/>
        </w:rPr>
        <w:t>more broadly</w:t>
      </w:r>
      <w:r w:rsidR="00BF36EF" w:rsidRPr="00B84387">
        <w:rPr>
          <w:rFonts w:ascii="Times New Roman" w:hAnsi="Times New Roman" w:cs="Times New Roman"/>
          <w:sz w:val="24"/>
          <w:szCs w:val="24"/>
        </w:rPr>
        <w:t xml:space="preserve">- even if fatal impacts </w:t>
      </w:r>
      <w:r w:rsidR="000955AD" w:rsidRPr="00B84387">
        <w:rPr>
          <w:rFonts w:ascii="Times New Roman" w:hAnsi="Times New Roman" w:cs="Times New Roman"/>
          <w:sz w:val="24"/>
          <w:szCs w:val="24"/>
        </w:rPr>
        <w:t xml:space="preserve">are </w:t>
      </w:r>
      <w:r w:rsidR="007C2537" w:rsidRPr="00B84387">
        <w:rPr>
          <w:rFonts w:ascii="Times New Roman" w:hAnsi="Times New Roman" w:cs="Times New Roman"/>
          <w:sz w:val="24"/>
          <w:szCs w:val="24"/>
        </w:rPr>
        <w:t xml:space="preserve">concentrated </w:t>
      </w:r>
      <w:r w:rsidR="000955AD" w:rsidRPr="00B84387">
        <w:rPr>
          <w:rFonts w:ascii="Times New Roman" w:hAnsi="Times New Roman" w:cs="Times New Roman"/>
          <w:sz w:val="24"/>
          <w:szCs w:val="24"/>
        </w:rPr>
        <w:t xml:space="preserve">among specific population groups </w:t>
      </w:r>
      <w:r w:rsidR="00BF36EF" w:rsidRPr="00B84387">
        <w:rPr>
          <w:rFonts w:ascii="Times New Roman" w:hAnsi="Times New Roman" w:cs="Times New Roman"/>
          <w:sz w:val="24"/>
          <w:szCs w:val="24"/>
        </w:rPr>
        <w:t xml:space="preserve">due to structural and behavioral factors </w:t>
      </w:r>
      <w:r w:rsidR="00B00621" w:rsidRPr="00B84387">
        <w:rPr>
          <w:rFonts w:ascii="Times New Roman" w:hAnsi="Times New Roman" w:cs="Times New Roman"/>
          <w:sz w:val="24"/>
          <w:szCs w:val="24"/>
        </w:rPr>
        <w:t>(25,26)</w:t>
      </w:r>
      <w:r w:rsidR="00BF36EF" w:rsidRPr="00B84387">
        <w:rPr>
          <w:rFonts w:ascii="Times New Roman" w:hAnsi="Times New Roman" w:cs="Times New Roman"/>
          <w:sz w:val="24"/>
          <w:szCs w:val="24"/>
        </w:rPr>
        <w:t xml:space="preserve">. Alternatively, the greatest impacts of these exposures might be relatively isolated, with White men experiencing a disproportionately high share of both </w:t>
      </w:r>
      <w:r w:rsidR="00BF36EF" w:rsidRPr="00B84387">
        <w:rPr>
          <w:rFonts w:ascii="Times New Roman" w:hAnsi="Times New Roman" w:cs="Times New Roman"/>
          <w:sz w:val="24"/>
          <w:szCs w:val="24"/>
        </w:rPr>
        <w:lastRenderedPageBreak/>
        <w:t xml:space="preserve">morbidity and mortality. Because life expectancy relies on observing the occurrence and timing of death, it cannot provide insight into the non-fatal impacts of social and environmental conditions driving increased deaths of despair </w:t>
      </w:r>
      <w:r w:rsidR="00B00621" w:rsidRPr="00B84387">
        <w:rPr>
          <w:rFonts w:ascii="Times New Roman" w:hAnsi="Times New Roman" w:cs="Times New Roman"/>
          <w:sz w:val="24"/>
          <w:szCs w:val="24"/>
        </w:rPr>
        <w:t>(15,21)</w:t>
      </w:r>
      <w:r w:rsidR="00BF36EF" w:rsidRPr="00B84387">
        <w:rPr>
          <w:rFonts w:ascii="Times New Roman" w:hAnsi="Times New Roman" w:cs="Times New Roman"/>
          <w:sz w:val="24"/>
          <w:szCs w:val="24"/>
        </w:rPr>
        <w:t xml:space="preserve">. </w:t>
      </w:r>
      <w:r w:rsidR="007138FE" w:rsidRPr="00B84387">
        <w:rPr>
          <w:rFonts w:ascii="Times New Roman" w:hAnsi="Times New Roman" w:cs="Times New Roman"/>
          <w:sz w:val="24"/>
          <w:szCs w:val="24"/>
        </w:rPr>
        <w:t xml:space="preserve">If </w:t>
      </w:r>
      <w:r w:rsidR="001A4741" w:rsidRPr="00B84387">
        <w:rPr>
          <w:rFonts w:ascii="Times New Roman" w:hAnsi="Times New Roman" w:cs="Times New Roman"/>
          <w:sz w:val="24"/>
          <w:szCs w:val="24"/>
        </w:rPr>
        <w:t>these</w:t>
      </w:r>
      <w:r w:rsidR="007138FE" w:rsidRPr="00B84387">
        <w:rPr>
          <w:rFonts w:ascii="Times New Roman" w:hAnsi="Times New Roman" w:cs="Times New Roman"/>
          <w:sz w:val="24"/>
          <w:szCs w:val="24"/>
        </w:rPr>
        <w:t xml:space="preserve"> impacts are </w:t>
      </w:r>
      <w:r w:rsidR="001A4741" w:rsidRPr="00B84387">
        <w:rPr>
          <w:rFonts w:ascii="Times New Roman" w:hAnsi="Times New Roman" w:cs="Times New Roman"/>
          <w:sz w:val="24"/>
          <w:szCs w:val="24"/>
        </w:rPr>
        <w:t>equally distributed across the population</w:t>
      </w:r>
      <w:r w:rsidR="007138FE" w:rsidRPr="00B84387">
        <w:rPr>
          <w:rFonts w:ascii="Times New Roman" w:hAnsi="Times New Roman" w:cs="Times New Roman"/>
          <w:sz w:val="24"/>
          <w:szCs w:val="24"/>
        </w:rPr>
        <w:t>, then broad-based policies and interventions will be most effective; if impacts are limited to specific age or demographic groups, then targeted interventions will be most appropriate. Measures which can evaluate health trajectories across a wide range of birth cohorts are needed to identify the populations at greatest risk for future disease and disability.</w:t>
      </w:r>
    </w:p>
    <w:p w14:paraId="320743C2" w14:textId="51AB7E2E" w:rsidR="00672F40" w:rsidRPr="00B84387" w:rsidRDefault="00210BCB" w:rsidP="00672F40">
      <w:pPr>
        <w:rPr>
          <w:rFonts w:ascii="Times New Roman" w:hAnsi="Times New Roman" w:cs="Times New Roman"/>
          <w:sz w:val="24"/>
          <w:szCs w:val="24"/>
        </w:rPr>
      </w:pPr>
      <w:r w:rsidRPr="00B84387">
        <w:rPr>
          <w:rFonts w:ascii="Times New Roman" w:hAnsi="Times New Roman" w:cs="Times New Roman"/>
          <w:b/>
          <w:bCs/>
          <w:sz w:val="24"/>
          <w:szCs w:val="24"/>
        </w:rPr>
        <w:t>Biological aging as an early indicator of population health trends</w:t>
      </w:r>
      <w:r w:rsidR="002810E6" w:rsidRPr="00B84387">
        <w:rPr>
          <w:rFonts w:ascii="Times New Roman" w:hAnsi="Times New Roman" w:cs="Times New Roman"/>
          <w:b/>
          <w:bCs/>
          <w:sz w:val="24"/>
          <w:szCs w:val="24"/>
        </w:rPr>
        <w:t>.</w:t>
      </w:r>
      <w:r w:rsidRPr="00B84387">
        <w:rPr>
          <w:rFonts w:ascii="Times New Roman" w:hAnsi="Times New Roman" w:cs="Times New Roman"/>
          <w:sz w:val="24"/>
          <w:szCs w:val="24"/>
        </w:rPr>
        <w:t xml:space="preserve"> A growing body of evidence indicates that biological aging measures may be well-suited to </w:t>
      </w:r>
      <w:r w:rsidR="001E1B7A" w:rsidRPr="00B84387">
        <w:rPr>
          <w:rFonts w:ascii="Times New Roman" w:hAnsi="Times New Roman" w:cs="Times New Roman"/>
          <w:sz w:val="24"/>
          <w:szCs w:val="24"/>
        </w:rPr>
        <w:t>monitoring</w:t>
      </w:r>
      <w:r w:rsidR="00184F3A" w:rsidRPr="00B84387">
        <w:rPr>
          <w:rFonts w:ascii="Times New Roman" w:hAnsi="Times New Roman" w:cs="Times New Roman"/>
          <w:sz w:val="24"/>
          <w:szCs w:val="24"/>
        </w:rPr>
        <w:t xml:space="preserve"> </w:t>
      </w:r>
      <w:r w:rsidR="00203221" w:rsidRPr="00B84387">
        <w:rPr>
          <w:rFonts w:ascii="Times New Roman" w:hAnsi="Times New Roman" w:cs="Times New Roman"/>
          <w:sz w:val="24"/>
          <w:szCs w:val="24"/>
        </w:rPr>
        <w:t>population aging trajectories,</w:t>
      </w:r>
      <w:r w:rsidR="00E73217" w:rsidRPr="00B84387">
        <w:rPr>
          <w:rFonts w:ascii="Times New Roman" w:hAnsi="Times New Roman" w:cs="Times New Roman"/>
          <w:sz w:val="24"/>
          <w:szCs w:val="24"/>
        </w:rPr>
        <w:t xml:space="preserve"> </w:t>
      </w:r>
      <w:r w:rsidR="00203221" w:rsidRPr="00B84387">
        <w:rPr>
          <w:rFonts w:ascii="Times New Roman" w:hAnsi="Times New Roman" w:cs="Times New Roman"/>
          <w:sz w:val="24"/>
          <w:szCs w:val="24"/>
        </w:rPr>
        <w:t xml:space="preserve">while </w:t>
      </w:r>
      <w:r w:rsidR="00E73217" w:rsidRPr="00B84387">
        <w:rPr>
          <w:rFonts w:ascii="Times New Roman" w:hAnsi="Times New Roman" w:cs="Times New Roman"/>
          <w:sz w:val="24"/>
          <w:szCs w:val="24"/>
        </w:rPr>
        <w:t>address</w:t>
      </w:r>
      <w:r w:rsidR="00203221" w:rsidRPr="00B84387">
        <w:rPr>
          <w:rFonts w:ascii="Times New Roman" w:hAnsi="Times New Roman" w:cs="Times New Roman"/>
          <w:sz w:val="24"/>
          <w:szCs w:val="24"/>
        </w:rPr>
        <w:t>ing</w:t>
      </w:r>
      <w:r w:rsidR="00E73217" w:rsidRPr="00B84387">
        <w:rPr>
          <w:rFonts w:ascii="Times New Roman" w:hAnsi="Times New Roman" w:cs="Times New Roman"/>
          <w:sz w:val="24"/>
          <w:szCs w:val="24"/>
        </w:rPr>
        <w:t xml:space="preserve"> several of limitations of life expectancy measures</w:t>
      </w:r>
      <w:r w:rsidRPr="00B84387">
        <w:rPr>
          <w:rFonts w:ascii="Times New Roman" w:hAnsi="Times New Roman" w:cs="Times New Roman"/>
          <w:sz w:val="24"/>
          <w:szCs w:val="24"/>
        </w:rPr>
        <w:t>.</w:t>
      </w:r>
      <w:r w:rsidR="006E5298" w:rsidRPr="00B84387">
        <w:rPr>
          <w:rFonts w:ascii="Times New Roman" w:hAnsi="Times New Roman" w:cs="Times New Roman"/>
          <w:sz w:val="24"/>
          <w:szCs w:val="24"/>
        </w:rPr>
        <w:t xml:space="preserve"> </w:t>
      </w:r>
      <w:bookmarkStart w:id="0" w:name="_Hlk156638684"/>
      <w:r w:rsidR="000643E9" w:rsidRPr="00B84387">
        <w:rPr>
          <w:rFonts w:ascii="Times New Roman" w:hAnsi="Times New Roman" w:cs="Times New Roman"/>
          <w:sz w:val="24"/>
          <w:szCs w:val="24"/>
        </w:rPr>
        <w:t xml:space="preserve">Biological aging is a construct first introduced by the fields of geroscience and aging biology, and describes </w:t>
      </w:r>
      <w:r w:rsidR="00353E0E" w:rsidRPr="00B84387">
        <w:rPr>
          <w:rFonts w:ascii="Times New Roman" w:hAnsi="Times New Roman" w:cs="Times New Roman"/>
          <w:sz w:val="24"/>
          <w:szCs w:val="24"/>
        </w:rPr>
        <w:t>the accumulation of physiological damage across multiple body systems that occurs with advancing chronological age</w:t>
      </w:r>
      <w:r w:rsidR="000643E9" w:rsidRPr="00B84387">
        <w:rPr>
          <w:rFonts w:ascii="Times New Roman" w:hAnsi="Times New Roman" w:cs="Times New Roman"/>
          <w:sz w:val="24"/>
          <w:szCs w:val="24"/>
        </w:rPr>
        <w:t xml:space="preserve"> </w:t>
      </w:r>
      <w:bookmarkEnd w:id="0"/>
      <w:r w:rsidR="00E03237" w:rsidRPr="00B84387">
        <w:rPr>
          <w:rFonts w:ascii="Times New Roman" w:hAnsi="Times New Roman" w:cs="Times New Roman"/>
          <w:sz w:val="24"/>
          <w:szCs w:val="24"/>
        </w:rPr>
        <w:t>(27,28)</w:t>
      </w:r>
      <w:r w:rsidR="000643E9" w:rsidRPr="00B84387">
        <w:rPr>
          <w:rFonts w:ascii="Times New Roman" w:hAnsi="Times New Roman" w:cs="Times New Roman"/>
          <w:sz w:val="24"/>
          <w:szCs w:val="24"/>
        </w:rPr>
        <w:t>. Hallmarks of this process, as identified by López-</w:t>
      </w:r>
      <w:proofErr w:type="spellStart"/>
      <w:r w:rsidR="000643E9" w:rsidRPr="00B84387">
        <w:rPr>
          <w:rFonts w:ascii="Times New Roman" w:hAnsi="Times New Roman" w:cs="Times New Roman"/>
          <w:sz w:val="24"/>
          <w:szCs w:val="24"/>
        </w:rPr>
        <w:t>Otín</w:t>
      </w:r>
      <w:proofErr w:type="spellEnd"/>
      <w:r w:rsidR="000643E9" w:rsidRPr="00B84387">
        <w:rPr>
          <w:rFonts w:ascii="Times New Roman" w:hAnsi="Times New Roman" w:cs="Times New Roman"/>
          <w:sz w:val="24"/>
          <w:szCs w:val="24"/>
        </w:rPr>
        <w:t xml:space="preserve"> and colleagues, include genomic instability, telomere attrition, epigenetic alterations, loss of proteostasis, deregulated nutrient-sensing, mitochondrial dysfunction, cellular senescence, stem cell exhaustion, and altered intercellular communication </w:t>
      </w:r>
      <w:r w:rsidR="00E03237" w:rsidRPr="00B84387">
        <w:rPr>
          <w:rFonts w:ascii="Times New Roman" w:hAnsi="Times New Roman" w:cs="Times New Roman"/>
          <w:sz w:val="24"/>
          <w:szCs w:val="24"/>
        </w:rPr>
        <w:t>(29)</w:t>
      </w:r>
      <w:r w:rsidR="000643E9" w:rsidRPr="00B84387">
        <w:rPr>
          <w:rFonts w:ascii="Times New Roman" w:hAnsi="Times New Roman" w:cs="Times New Roman"/>
          <w:sz w:val="24"/>
          <w:szCs w:val="24"/>
        </w:rPr>
        <w:t xml:space="preserve">. </w:t>
      </w:r>
      <w:r w:rsidR="0032059B" w:rsidRPr="00B84387">
        <w:rPr>
          <w:rFonts w:ascii="Times New Roman" w:hAnsi="Times New Roman" w:cs="Times New Roman"/>
          <w:sz w:val="24"/>
          <w:szCs w:val="24"/>
        </w:rPr>
        <w:t xml:space="preserve">These decrements originate at the molecular level and are observable across multiple body systems, mediating the eventual manifestations of age-related disease and disability </w:t>
      </w:r>
      <w:r w:rsidR="00E03237" w:rsidRPr="00B84387">
        <w:rPr>
          <w:rFonts w:ascii="Times New Roman" w:hAnsi="Times New Roman" w:cs="Times New Roman"/>
          <w:sz w:val="24"/>
          <w:szCs w:val="24"/>
        </w:rPr>
        <w:t>(19,28)</w:t>
      </w:r>
      <w:r w:rsidR="000643E9" w:rsidRPr="00B84387">
        <w:rPr>
          <w:rFonts w:ascii="Times New Roman" w:hAnsi="Times New Roman" w:cs="Times New Roman"/>
          <w:sz w:val="24"/>
          <w:szCs w:val="24"/>
        </w:rPr>
        <w:t xml:space="preserve">. Quantifications of biological aging are being developed in the nascent field of geroscience to assess these pre-clinical decrements as a modifiable risk factor for aging-related health outcomes </w:t>
      </w:r>
      <w:r w:rsidR="00E03237" w:rsidRPr="00B84387">
        <w:rPr>
          <w:rFonts w:ascii="Times New Roman" w:hAnsi="Times New Roman" w:cs="Times New Roman"/>
          <w:sz w:val="24"/>
          <w:szCs w:val="24"/>
        </w:rPr>
        <w:t>(20,30)</w:t>
      </w:r>
      <w:r w:rsidR="000643E9" w:rsidRPr="00B84387">
        <w:rPr>
          <w:rFonts w:ascii="Times New Roman" w:hAnsi="Times New Roman" w:cs="Times New Roman"/>
          <w:sz w:val="24"/>
          <w:szCs w:val="24"/>
        </w:rPr>
        <w:t xml:space="preserve">. </w:t>
      </w:r>
      <w:r w:rsidR="00026AA5" w:rsidRPr="00B84387">
        <w:rPr>
          <w:rFonts w:ascii="Times New Roman" w:hAnsi="Times New Roman" w:cs="Times New Roman"/>
          <w:sz w:val="24"/>
          <w:szCs w:val="24"/>
        </w:rPr>
        <w:t xml:space="preserve">To the extent that measures of biological aging </w:t>
      </w:r>
      <w:r w:rsidR="00F13422" w:rsidRPr="00B84387">
        <w:rPr>
          <w:rFonts w:ascii="Times New Roman" w:hAnsi="Times New Roman" w:cs="Times New Roman"/>
          <w:sz w:val="24"/>
          <w:szCs w:val="24"/>
        </w:rPr>
        <w:t xml:space="preserve">reflect latent decrements in </w:t>
      </w:r>
      <w:r w:rsidR="00FC2DD0" w:rsidRPr="00B84387">
        <w:rPr>
          <w:rFonts w:ascii="Times New Roman" w:hAnsi="Times New Roman" w:cs="Times New Roman"/>
          <w:sz w:val="24"/>
          <w:szCs w:val="24"/>
        </w:rPr>
        <w:t>physiological integrity</w:t>
      </w:r>
      <w:r w:rsidR="00F13422" w:rsidRPr="00B84387">
        <w:rPr>
          <w:rFonts w:ascii="Times New Roman" w:hAnsi="Times New Roman" w:cs="Times New Roman"/>
          <w:sz w:val="24"/>
          <w:szCs w:val="24"/>
        </w:rPr>
        <w:t xml:space="preserve"> that result from </w:t>
      </w:r>
      <w:r w:rsidR="00FC2DD0" w:rsidRPr="00B84387">
        <w:rPr>
          <w:rFonts w:ascii="Times New Roman" w:hAnsi="Times New Roman" w:cs="Times New Roman"/>
          <w:sz w:val="24"/>
          <w:szCs w:val="24"/>
        </w:rPr>
        <w:t>the</w:t>
      </w:r>
      <w:r w:rsidR="00F13422" w:rsidRPr="00B84387">
        <w:rPr>
          <w:rFonts w:ascii="Times New Roman" w:hAnsi="Times New Roman" w:cs="Times New Roman"/>
          <w:sz w:val="24"/>
          <w:szCs w:val="24"/>
        </w:rPr>
        <w:t xml:space="preserve"> accumulation of </w:t>
      </w:r>
      <w:r w:rsidR="00FC2DD0" w:rsidRPr="00B84387">
        <w:rPr>
          <w:rFonts w:ascii="Times New Roman" w:hAnsi="Times New Roman" w:cs="Times New Roman"/>
          <w:sz w:val="24"/>
          <w:szCs w:val="24"/>
        </w:rPr>
        <w:t>compounding health risks</w:t>
      </w:r>
      <w:r w:rsidR="00F13422" w:rsidRPr="00B84387">
        <w:rPr>
          <w:rFonts w:ascii="Times New Roman" w:hAnsi="Times New Roman" w:cs="Times New Roman"/>
          <w:sz w:val="24"/>
          <w:szCs w:val="24"/>
        </w:rPr>
        <w:t>, they provide a</w:t>
      </w:r>
      <w:r w:rsidR="009D66FC" w:rsidRPr="00B84387">
        <w:rPr>
          <w:rFonts w:ascii="Times New Roman" w:hAnsi="Times New Roman" w:cs="Times New Roman"/>
          <w:sz w:val="24"/>
          <w:szCs w:val="24"/>
        </w:rPr>
        <w:t>n appropriate</w:t>
      </w:r>
      <w:r w:rsidR="00F13422" w:rsidRPr="00B84387">
        <w:rPr>
          <w:rFonts w:ascii="Times New Roman" w:hAnsi="Times New Roman" w:cs="Times New Roman"/>
          <w:sz w:val="24"/>
          <w:szCs w:val="24"/>
        </w:rPr>
        <w:t xml:space="preserve"> means through which to evaluate</w:t>
      </w:r>
      <w:r w:rsidR="00131EC2" w:rsidRPr="00B84387">
        <w:rPr>
          <w:rFonts w:ascii="Times New Roman" w:hAnsi="Times New Roman" w:cs="Times New Roman"/>
          <w:sz w:val="24"/>
          <w:szCs w:val="24"/>
        </w:rPr>
        <w:t xml:space="preserve"> contemporary</w:t>
      </w:r>
      <w:r w:rsidR="00F13422" w:rsidRPr="00B84387">
        <w:rPr>
          <w:rFonts w:ascii="Times New Roman" w:hAnsi="Times New Roman" w:cs="Times New Roman"/>
          <w:sz w:val="24"/>
          <w:szCs w:val="24"/>
        </w:rPr>
        <w:t xml:space="preserve"> </w:t>
      </w:r>
      <w:r w:rsidR="00131EC2" w:rsidRPr="00B84387">
        <w:rPr>
          <w:rFonts w:ascii="Times New Roman" w:hAnsi="Times New Roman" w:cs="Times New Roman"/>
          <w:sz w:val="24"/>
          <w:szCs w:val="24"/>
        </w:rPr>
        <w:t xml:space="preserve">trends in </w:t>
      </w:r>
      <w:r w:rsidR="00F13422" w:rsidRPr="00B84387">
        <w:rPr>
          <w:rFonts w:ascii="Times New Roman" w:hAnsi="Times New Roman" w:cs="Times New Roman"/>
          <w:sz w:val="24"/>
          <w:szCs w:val="24"/>
        </w:rPr>
        <w:t>population health and inform timely, actionable health policy.</w:t>
      </w:r>
      <w:r w:rsidR="004E5382" w:rsidRPr="00B84387">
        <w:rPr>
          <w:rFonts w:ascii="Times New Roman" w:hAnsi="Times New Roman" w:cs="Times New Roman"/>
          <w:sz w:val="24"/>
          <w:szCs w:val="24"/>
        </w:rPr>
        <w:t xml:space="preserve"> </w:t>
      </w:r>
    </w:p>
    <w:p w14:paraId="5D644430" w14:textId="657AD054" w:rsidR="00E1597B" w:rsidRPr="00B84387" w:rsidRDefault="00FC2DD0" w:rsidP="00E00B26">
      <w:pPr>
        <w:ind w:firstLine="720"/>
        <w:rPr>
          <w:rFonts w:ascii="Times New Roman" w:hAnsi="Times New Roman" w:cs="Times New Roman"/>
          <w:sz w:val="24"/>
          <w:szCs w:val="24"/>
        </w:rPr>
      </w:pPr>
      <w:r w:rsidRPr="00B84387">
        <w:rPr>
          <w:rFonts w:ascii="Times New Roman" w:hAnsi="Times New Roman" w:cs="Times New Roman"/>
          <w:sz w:val="24"/>
          <w:szCs w:val="24"/>
        </w:rPr>
        <w:t xml:space="preserve">There are multiple mechanisms through which social and environmental factors </w:t>
      </w:r>
      <w:r w:rsidR="00A27A98" w:rsidRPr="00B84387">
        <w:rPr>
          <w:rFonts w:ascii="Times New Roman" w:hAnsi="Times New Roman" w:cs="Times New Roman"/>
          <w:sz w:val="24"/>
          <w:szCs w:val="24"/>
        </w:rPr>
        <w:t>might</w:t>
      </w:r>
      <w:r w:rsidR="00672F40" w:rsidRPr="00B84387">
        <w:rPr>
          <w:rFonts w:ascii="Times New Roman" w:hAnsi="Times New Roman" w:cs="Times New Roman"/>
          <w:sz w:val="24"/>
          <w:szCs w:val="24"/>
        </w:rPr>
        <w:t xml:space="preserve"> </w:t>
      </w:r>
      <w:r w:rsidRPr="00B84387">
        <w:rPr>
          <w:rFonts w:ascii="Times New Roman" w:hAnsi="Times New Roman" w:cs="Times New Roman"/>
          <w:sz w:val="24"/>
          <w:szCs w:val="24"/>
        </w:rPr>
        <w:t xml:space="preserve">impact biological aging trajectories. First, </w:t>
      </w:r>
      <w:r w:rsidR="00514F81" w:rsidRPr="00B84387">
        <w:rPr>
          <w:rFonts w:ascii="Times New Roman" w:hAnsi="Times New Roman" w:cs="Times New Roman"/>
          <w:sz w:val="24"/>
          <w:szCs w:val="24"/>
        </w:rPr>
        <w:t xml:space="preserve">exposure to social stressors </w:t>
      </w:r>
      <w:r w:rsidR="00C14E9E" w:rsidRPr="00B84387">
        <w:rPr>
          <w:rFonts w:ascii="Times New Roman" w:hAnsi="Times New Roman" w:cs="Times New Roman"/>
          <w:sz w:val="24"/>
          <w:szCs w:val="24"/>
        </w:rPr>
        <w:t>has</w:t>
      </w:r>
      <w:r w:rsidR="00514F81" w:rsidRPr="00B84387">
        <w:rPr>
          <w:rFonts w:ascii="Times New Roman" w:hAnsi="Times New Roman" w:cs="Times New Roman"/>
          <w:sz w:val="24"/>
          <w:szCs w:val="24"/>
        </w:rPr>
        <w:t xml:space="preserve"> been shown to trigger endogenous processes that result in damage to cardiovascular and metabolic health. </w:t>
      </w:r>
      <w:r w:rsidR="00344FF4" w:rsidRPr="00B84387">
        <w:rPr>
          <w:rFonts w:ascii="Times New Roman" w:hAnsi="Times New Roman" w:cs="Times New Roman"/>
          <w:sz w:val="24"/>
          <w:szCs w:val="24"/>
        </w:rPr>
        <w:t>McEwen and colleagues</w:t>
      </w:r>
      <w:r w:rsidR="00C93D08" w:rsidRPr="00B84387">
        <w:rPr>
          <w:rFonts w:ascii="Times New Roman" w:hAnsi="Times New Roman" w:cs="Times New Roman"/>
          <w:sz w:val="24"/>
          <w:szCs w:val="24"/>
        </w:rPr>
        <w:t xml:space="preserve"> first</w:t>
      </w:r>
      <w:r w:rsidR="00344FF4" w:rsidRPr="00B84387">
        <w:rPr>
          <w:rFonts w:ascii="Times New Roman" w:hAnsi="Times New Roman" w:cs="Times New Roman"/>
          <w:sz w:val="24"/>
          <w:szCs w:val="24"/>
        </w:rPr>
        <w:t xml:space="preserve"> introduced the concept of allostatic load</w:t>
      </w:r>
      <w:r w:rsidR="00C93D08" w:rsidRPr="00B84387">
        <w:rPr>
          <w:rFonts w:ascii="Times New Roman" w:hAnsi="Times New Roman" w:cs="Times New Roman"/>
          <w:sz w:val="24"/>
          <w:szCs w:val="24"/>
        </w:rPr>
        <w:t xml:space="preserve"> in 1998</w:t>
      </w:r>
      <w:r w:rsidR="00344FF4" w:rsidRPr="00B84387">
        <w:rPr>
          <w:rFonts w:ascii="Times New Roman" w:hAnsi="Times New Roman" w:cs="Times New Roman"/>
          <w:sz w:val="24"/>
          <w:szCs w:val="24"/>
        </w:rPr>
        <w:t>: the overstimulation of neural, neuroendocrine and neuroendocrine-immune systems resulting from frequent and sustained exposure to stress</w:t>
      </w:r>
      <w:r w:rsidR="00C93D08" w:rsidRPr="00B84387">
        <w:rPr>
          <w:rFonts w:ascii="Times New Roman" w:hAnsi="Times New Roman" w:cs="Times New Roman"/>
          <w:sz w:val="24"/>
          <w:szCs w:val="24"/>
        </w:rPr>
        <w:t xml:space="preserve"> </w:t>
      </w:r>
      <w:r w:rsidR="00E03237" w:rsidRPr="00B84387">
        <w:rPr>
          <w:rFonts w:ascii="Times New Roman" w:hAnsi="Times New Roman" w:cs="Times New Roman"/>
          <w:sz w:val="24"/>
          <w:szCs w:val="24"/>
        </w:rPr>
        <w:t>(31)</w:t>
      </w:r>
      <w:r w:rsidR="00344FF4" w:rsidRPr="00B84387">
        <w:rPr>
          <w:rFonts w:ascii="Times New Roman" w:hAnsi="Times New Roman" w:cs="Times New Roman"/>
          <w:sz w:val="24"/>
          <w:szCs w:val="24"/>
        </w:rPr>
        <w:t>.</w:t>
      </w:r>
      <w:r w:rsidR="00F17E74" w:rsidRPr="00B84387">
        <w:rPr>
          <w:rFonts w:ascii="Times New Roman" w:hAnsi="Times New Roman" w:cs="Times New Roman"/>
          <w:sz w:val="24"/>
          <w:szCs w:val="24"/>
        </w:rPr>
        <w:t xml:space="preserve"> </w:t>
      </w:r>
      <w:r w:rsidR="00514F81" w:rsidRPr="00B84387">
        <w:rPr>
          <w:rFonts w:ascii="Times New Roman" w:hAnsi="Times New Roman" w:cs="Times New Roman"/>
          <w:sz w:val="24"/>
          <w:szCs w:val="24"/>
        </w:rPr>
        <w:t xml:space="preserve">Geronimus and colleagues </w:t>
      </w:r>
      <w:r w:rsidR="00344FF4" w:rsidRPr="00B84387">
        <w:rPr>
          <w:rFonts w:ascii="Times New Roman" w:hAnsi="Times New Roman" w:cs="Times New Roman"/>
          <w:sz w:val="24"/>
          <w:szCs w:val="24"/>
        </w:rPr>
        <w:t>then</w:t>
      </w:r>
      <w:r w:rsidR="00514F81" w:rsidRPr="00B84387">
        <w:rPr>
          <w:rFonts w:ascii="Times New Roman" w:hAnsi="Times New Roman" w:cs="Times New Roman"/>
          <w:sz w:val="24"/>
          <w:szCs w:val="24"/>
        </w:rPr>
        <w:t xml:space="preserve"> </w:t>
      </w:r>
      <w:r w:rsidR="00F17E74" w:rsidRPr="00B84387">
        <w:rPr>
          <w:rFonts w:ascii="Times New Roman" w:hAnsi="Times New Roman" w:cs="Times New Roman"/>
          <w:sz w:val="24"/>
          <w:szCs w:val="24"/>
        </w:rPr>
        <w:t>applied</w:t>
      </w:r>
      <w:r w:rsidR="00514F81" w:rsidRPr="00B84387">
        <w:rPr>
          <w:rFonts w:ascii="Times New Roman" w:hAnsi="Times New Roman" w:cs="Times New Roman"/>
          <w:sz w:val="24"/>
          <w:szCs w:val="24"/>
        </w:rPr>
        <w:t xml:space="preserve"> this concept </w:t>
      </w:r>
      <w:r w:rsidR="00F17E74" w:rsidRPr="00B84387">
        <w:rPr>
          <w:rFonts w:ascii="Times New Roman" w:hAnsi="Times New Roman" w:cs="Times New Roman"/>
          <w:sz w:val="24"/>
          <w:szCs w:val="24"/>
        </w:rPr>
        <w:t xml:space="preserve">in their research on </w:t>
      </w:r>
      <w:r w:rsidR="00514F81" w:rsidRPr="00B84387">
        <w:rPr>
          <w:rFonts w:ascii="Times New Roman" w:hAnsi="Times New Roman" w:cs="Times New Roman"/>
          <w:sz w:val="24"/>
          <w:szCs w:val="24"/>
        </w:rPr>
        <w:t>“weathering”</w:t>
      </w:r>
      <w:r w:rsidR="00F17E74" w:rsidRPr="00B84387">
        <w:rPr>
          <w:rFonts w:ascii="Times New Roman" w:hAnsi="Times New Roman" w:cs="Times New Roman"/>
          <w:sz w:val="24"/>
          <w:szCs w:val="24"/>
        </w:rPr>
        <w:t xml:space="preserve">, </w:t>
      </w:r>
      <w:r w:rsidR="00514F81" w:rsidRPr="00B84387">
        <w:rPr>
          <w:rFonts w:ascii="Times New Roman" w:hAnsi="Times New Roman" w:cs="Times New Roman"/>
          <w:sz w:val="24"/>
          <w:szCs w:val="24"/>
        </w:rPr>
        <w:t>demonstrating clear racial disparities in allostatic load- a measure of oxidative stress</w:t>
      </w:r>
      <w:r w:rsidR="00751F73" w:rsidRPr="00B84387">
        <w:rPr>
          <w:rFonts w:ascii="Times New Roman" w:hAnsi="Times New Roman" w:cs="Times New Roman"/>
          <w:sz w:val="24"/>
          <w:szCs w:val="24"/>
        </w:rPr>
        <w:t>-related aging processes</w:t>
      </w:r>
      <w:r w:rsidR="00514F81" w:rsidRPr="00B84387">
        <w:rPr>
          <w:rFonts w:ascii="Times New Roman" w:hAnsi="Times New Roman" w:cs="Times New Roman"/>
          <w:sz w:val="24"/>
          <w:szCs w:val="24"/>
        </w:rPr>
        <w:t xml:space="preserve"> </w:t>
      </w:r>
      <w:r w:rsidR="00E03237" w:rsidRPr="00B84387">
        <w:rPr>
          <w:rFonts w:ascii="Times New Roman" w:hAnsi="Times New Roman" w:cs="Times New Roman"/>
          <w:kern w:val="0"/>
          <w:sz w:val="24"/>
          <w:szCs w:val="24"/>
        </w:rPr>
        <w:t>(31–34)</w:t>
      </w:r>
      <w:r w:rsidR="00514F81" w:rsidRPr="00B84387">
        <w:rPr>
          <w:rFonts w:ascii="Times New Roman" w:hAnsi="Times New Roman" w:cs="Times New Roman"/>
          <w:sz w:val="24"/>
          <w:szCs w:val="24"/>
        </w:rPr>
        <w:t xml:space="preserve">. Since then, additional research has continued to </w:t>
      </w:r>
      <w:r w:rsidR="00751F73" w:rsidRPr="00B84387">
        <w:rPr>
          <w:rFonts w:ascii="Times New Roman" w:hAnsi="Times New Roman" w:cs="Times New Roman"/>
          <w:sz w:val="24"/>
          <w:szCs w:val="24"/>
        </w:rPr>
        <w:t>elaborate associations between psychosocial stress and accelerated aging</w:t>
      </w:r>
      <w:r w:rsidR="00514F81" w:rsidRPr="00B84387">
        <w:rPr>
          <w:rFonts w:ascii="Times New Roman" w:hAnsi="Times New Roman" w:cs="Times New Roman"/>
          <w:sz w:val="24"/>
          <w:szCs w:val="24"/>
        </w:rPr>
        <w:t xml:space="preserve"> </w:t>
      </w:r>
      <w:r w:rsidR="00E03237" w:rsidRPr="00B84387">
        <w:rPr>
          <w:rFonts w:ascii="Times New Roman" w:hAnsi="Times New Roman" w:cs="Times New Roman"/>
          <w:kern w:val="0"/>
          <w:sz w:val="24"/>
          <w:szCs w:val="24"/>
        </w:rPr>
        <w:t>(35–38)</w:t>
      </w:r>
      <w:r w:rsidR="00751F73" w:rsidRPr="00B84387">
        <w:rPr>
          <w:rFonts w:ascii="Times New Roman" w:hAnsi="Times New Roman" w:cs="Times New Roman"/>
          <w:sz w:val="24"/>
          <w:szCs w:val="24"/>
        </w:rPr>
        <w:t xml:space="preserve">. </w:t>
      </w:r>
      <w:r w:rsidR="00431146" w:rsidRPr="00B84387">
        <w:rPr>
          <w:rFonts w:ascii="Times New Roman" w:hAnsi="Times New Roman" w:cs="Times New Roman"/>
          <w:sz w:val="24"/>
          <w:szCs w:val="24"/>
        </w:rPr>
        <w:t xml:space="preserve">Second, aging-related damage may occur as a result of exogenous exposure to environmental toxicants and </w:t>
      </w:r>
      <w:r w:rsidR="00E45784" w:rsidRPr="00B84387">
        <w:rPr>
          <w:rFonts w:ascii="Times New Roman" w:hAnsi="Times New Roman" w:cs="Times New Roman"/>
          <w:sz w:val="24"/>
          <w:szCs w:val="24"/>
        </w:rPr>
        <w:t xml:space="preserve">constraints that induce adverse health behaviors, including air pollution, socioeconomic status, and </w:t>
      </w:r>
      <w:r w:rsidR="00BD6D63" w:rsidRPr="00B84387">
        <w:rPr>
          <w:rFonts w:ascii="Times New Roman" w:hAnsi="Times New Roman" w:cs="Times New Roman"/>
          <w:sz w:val="24"/>
          <w:szCs w:val="24"/>
        </w:rPr>
        <w:t>neighborhood</w:t>
      </w:r>
      <w:r w:rsidR="00153B27" w:rsidRPr="00B84387">
        <w:rPr>
          <w:rFonts w:ascii="Times New Roman" w:hAnsi="Times New Roman" w:cs="Times New Roman"/>
          <w:sz w:val="24"/>
          <w:szCs w:val="24"/>
        </w:rPr>
        <w:t>-level</w:t>
      </w:r>
      <w:r w:rsidR="00BD6D63" w:rsidRPr="00B84387">
        <w:rPr>
          <w:rFonts w:ascii="Times New Roman" w:hAnsi="Times New Roman" w:cs="Times New Roman"/>
          <w:sz w:val="24"/>
          <w:szCs w:val="24"/>
        </w:rPr>
        <w:t xml:space="preserve"> factors</w:t>
      </w:r>
      <w:r w:rsidR="00603ECD" w:rsidRPr="00B84387">
        <w:rPr>
          <w:rFonts w:ascii="Times New Roman" w:hAnsi="Times New Roman" w:cs="Times New Roman"/>
          <w:sz w:val="24"/>
          <w:szCs w:val="24"/>
        </w:rPr>
        <w:t xml:space="preserve"> </w:t>
      </w:r>
      <w:r w:rsidR="00E03237" w:rsidRPr="00B84387">
        <w:rPr>
          <w:rFonts w:ascii="Times New Roman" w:hAnsi="Times New Roman" w:cs="Times New Roman"/>
          <w:kern w:val="0"/>
          <w:sz w:val="24"/>
          <w:szCs w:val="24"/>
        </w:rPr>
        <w:t>(39–42)</w:t>
      </w:r>
      <w:r w:rsidR="00E45784" w:rsidRPr="00B84387">
        <w:rPr>
          <w:rFonts w:ascii="Times New Roman" w:hAnsi="Times New Roman" w:cs="Times New Roman"/>
          <w:sz w:val="24"/>
          <w:szCs w:val="24"/>
        </w:rPr>
        <w:t xml:space="preserve">. </w:t>
      </w:r>
    </w:p>
    <w:p w14:paraId="3D717727" w14:textId="22575B43" w:rsidR="00BD6D63" w:rsidRPr="00B84387" w:rsidRDefault="00E45784" w:rsidP="00E00B26">
      <w:pPr>
        <w:ind w:firstLine="720"/>
        <w:rPr>
          <w:rFonts w:ascii="Times New Roman" w:hAnsi="Times New Roman" w:cs="Times New Roman"/>
          <w:sz w:val="24"/>
          <w:szCs w:val="24"/>
        </w:rPr>
      </w:pPr>
      <w:r w:rsidRPr="00B84387">
        <w:rPr>
          <w:rFonts w:ascii="Times New Roman" w:hAnsi="Times New Roman" w:cs="Times New Roman"/>
          <w:sz w:val="24"/>
          <w:szCs w:val="24"/>
        </w:rPr>
        <w:t xml:space="preserve">Recently-developed biological-aging algorithms </w:t>
      </w:r>
      <w:r w:rsidR="00BD6D63" w:rsidRPr="00B84387">
        <w:rPr>
          <w:rFonts w:ascii="Times New Roman" w:hAnsi="Times New Roman" w:cs="Times New Roman"/>
          <w:sz w:val="24"/>
          <w:szCs w:val="24"/>
        </w:rPr>
        <w:t>are responsive to a wide range of these exposures</w:t>
      </w:r>
      <w:r w:rsidR="00153B27" w:rsidRPr="00B84387">
        <w:rPr>
          <w:rFonts w:ascii="Times New Roman" w:hAnsi="Times New Roman" w:cs="Times New Roman"/>
          <w:sz w:val="24"/>
          <w:szCs w:val="24"/>
        </w:rPr>
        <w:t xml:space="preserve"> </w:t>
      </w:r>
      <w:r w:rsidR="00E03237" w:rsidRPr="00B84387">
        <w:rPr>
          <w:rFonts w:ascii="Times New Roman" w:hAnsi="Times New Roman" w:cs="Times New Roman"/>
          <w:kern w:val="0"/>
          <w:sz w:val="24"/>
          <w:szCs w:val="24"/>
        </w:rPr>
        <w:t>(43–46)</w:t>
      </w:r>
      <w:r w:rsidR="00BD6D63" w:rsidRPr="00B84387">
        <w:rPr>
          <w:rFonts w:ascii="Times New Roman" w:hAnsi="Times New Roman" w:cs="Times New Roman"/>
          <w:sz w:val="24"/>
          <w:szCs w:val="24"/>
        </w:rPr>
        <w:t xml:space="preserve">, and </w:t>
      </w:r>
      <w:r w:rsidR="00E904B3" w:rsidRPr="00B84387">
        <w:rPr>
          <w:rFonts w:ascii="Times New Roman" w:hAnsi="Times New Roman" w:cs="Times New Roman"/>
          <w:sz w:val="24"/>
          <w:szCs w:val="24"/>
        </w:rPr>
        <w:t>demonstrate</w:t>
      </w:r>
      <w:r w:rsidR="00BD6D63" w:rsidRPr="00B84387">
        <w:rPr>
          <w:rFonts w:ascii="Times New Roman" w:hAnsi="Times New Roman" w:cs="Times New Roman"/>
          <w:sz w:val="24"/>
          <w:szCs w:val="24"/>
        </w:rPr>
        <w:t xml:space="preserve"> several additional </w:t>
      </w:r>
      <w:r w:rsidRPr="00B84387">
        <w:rPr>
          <w:rFonts w:ascii="Times New Roman" w:hAnsi="Times New Roman" w:cs="Times New Roman"/>
          <w:sz w:val="24"/>
          <w:szCs w:val="24"/>
        </w:rPr>
        <w:t xml:space="preserve">properties well-suited to the evaluation of population health trajectories. </w:t>
      </w:r>
      <w:r w:rsidR="00F56467" w:rsidRPr="00B84387">
        <w:rPr>
          <w:rFonts w:ascii="Times New Roman" w:hAnsi="Times New Roman" w:cs="Times New Roman"/>
          <w:sz w:val="24"/>
          <w:szCs w:val="24"/>
        </w:rPr>
        <w:t xml:space="preserve">For example, many of these measures are sensitive to a range of social and environmental exposures, predictive of morbidity and mortality in diverse populations, and can identify pre-clinical health risk as early as young adulthood; several of these measures use data available from routine blood chemistry tests, which are increasingly </w:t>
      </w:r>
      <w:r w:rsidR="00F56467" w:rsidRPr="00B84387">
        <w:rPr>
          <w:rFonts w:ascii="Times New Roman" w:hAnsi="Times New Roman" w:cs="Times New Roman"/>
          <w:sz w:val="24"/>
          <w:szCs w:val="24"/>
        </w:rPr>
        <w:lastRenderedPageBreak/>
        <w:t xml:space="preserve">collected in large-scale population health surveys </w:t>
      </w:r>
      <w:r w:rsidR="00E1597B" w:rsidRPr="00B84387">
        <w:rPr>
          <w:rFonts w:ascii="Times New Roman" w:hAnsi="Times New Roman" w:cs="Times New Roman"/>
          <w:kern w:val="0"/>
          <w:sz w:val="24"/>
          <w:szCs w:val="24"/>
        </w:rPr>
        <w:t>(38,44,45,47–54)</w:t>
      </w:r>
      <w:r w:rsidR="00F56467" w:rsidRPr="00B84387">
        <w:rPr>
          <w:rFonts w:ascii="Times New Roman" w:hAnsi="Times New Roman" w:cs="Times New Roman"/>
          <w:sz w:val="24"/>
          <w:szCs w:val="24"/>
        </w:rPr>
        <w:t xml:space="preserve">. </w:t>
      </w:r>
      <w:bookmarkStart w:id="1" w:name="_Hlk156465846"/>
      <w:r w:rsidR="004200E8" w:rsidRPr="00B84387">
        <w:rPr>
          <w:rFonts w:ascii="Times New Roman" w:hAnsi="Times New Roman" w:cs="Times New Roman"/>
          <w:sz w:val="24"/>
          <w:szCs w:val="24"/>
        </w:rPr>
        <w:t xml:space="preserve">While there is no gold standard of biological aging </w:t>
      </w:r>
      <w:r w:rsidR="000C67A7" w:rsidRPr="00B84387">
        <w:rPr>
          <w:rFonts w:ascii="Times New Roman" w:hAnsi="Times New Roman" w:cs="Times New Roman"/>
          <w:sz w:val="24"/>
          <w:szCs w:val="24"/>
        </w:rPr>
        <w:t>(47,55)</w:t>
      </w:r>
      <w:r w:rsidR="004200E8" w:rsidRPr="00B84387">
        <w:rPr>
          <w:rFonts w:ascii="Times New Roman" w:hAnsi="Times New Roman" w:cs="Times New Roman"/>
          <w:sz w:val="24"/>
          <w:szCs w:val="24"/>
        </w:rPr>
        <w:t xml:space="preserve">, the most widely-adopted measures to date use machine learning methods to integrate information across multiple clinical parameters collected from blood-chemistry and DNA-methylation data </w:t>
      </w:r>
      <w:r w:rsidR="000C67A7" w:rsidRPr="00B84387">
        <w:rPr>
          <w:rFonts w:ascii="Times New Roman" w:hAnsi="Times New Roman" w:cs="Times New Roman"/>
          <w:kern w:val="0"/>
          <w:sz w:val="24"/>
          <w:szCs w:val="24"/>
        </w:rPr>
        <w:t>(47,55–58)</w:t>
      </w:r>
      <w:r w:rsidR="004200E8" w:rsidRPr="00B84387">
        <w:rPr>
          <w:rFonts w:ascii="Times New Roman" w:hAnsi="Times New Roman" w:cs="Times New Roman"/>
          <w:sz w:val="24"/>
          <w:szCs w:val="24"/>
        </w:rPr>
        <w:t>.</w:t>
      </w:r>
      <w:bookmarkEnd w:id="1"/>
      <w:r w:rsidR="004200E8" w:rsidRPr="00B84387">
        <w:rPr>
          <w:rFonts w:ascii="Times New Roman" w:hAnsi="Times New Roman" w:cs="Times New Roman"/>
          <w:sz w:val="24"/>
          <w:szCs w:val="24"/>
        </w:rPr>
        <w:t xml:space="preserve"> </w:t>
      </w:r>
      <w:r w:rsidR="00557909" w:rsidRPr="00B84387">
        <w:rPr>
          <w:rFonts w:ascii="Times New Roman" w:hAnsi="Times New Roman" w:cs="Times New Roman"/>
          <w:sz w:val="24"/>
          <w:szCs w:val="24"/>
        </w:rPr>
        <w:t xml:space="preserve">Machine-learning methods </w:t>
      </w:r>
      <w:r w:rsidR="0040794D" w:rsidRPr="00B84387">
        <w:rPr>
          <w:rFonts w:ascii="Times New Roman" w:hAnsi="Times New Roman" w:cs="Times New Roman"/>
          <w:sz w:val="24"/>
          <w:szCs w:val="24"/>
        </w:rPr>
        <w:t xml:space="preserve">are used to </w:t>
      </w:r>
      <w:r w:rsidR="00557909" w:rsidRPr="00B84387">
        <w:rPr>
          <w:rFonts w:ascii="Times New Roman" w:hAnsi="Times New Roman" w:cs="Times New Roman"/>
          <w:sz w:val="24"/>
          <w:szCs w:val="24"/>
        </w:rPr>
        <w:t xml:space="preserve">train </w:t>
      </w:r>
      <w:r w:rsidR="004200E8" w:rsidRPr="00B84387">
        <w:rPr>
          <w:rFonts w:ascii="Times New Roman" w:hAnsi="Times New Roman" w:cs="Times New Roman"/>
          <w:sz w:val="24"/>
          <w:szCs w:val="24"/>
        </w:rPr>
        <w:t>these parameters on some aging-related outcome (e.g., chronological age, mortality risk, longitudinal rate of physiological decline)</w:t>
      </w:r>
      <w:r w:rsidR="002850DB" w:rsidRPr="00B84387">
        <w:rPr>
          <w:rFonts w:ascii="Times New Roman" w:hAnsi="Times New Roman" w:cs="Times New Roman"/>
          <w:sz w:val="24"/>
          <w:szCs w:val="24"/>
        </w:rPr>
        <w:t xml:space="preserve"> in a reference sample</w:t>
      </w:r>
      <w:r w:rsidR="004200E8" w:rsidRPr="00B84387">
        <w:rPr>
          <w:rFonts w:ascii="Times New Roman" w:hAnsi="Times New Roman" w:cs="Times New Roman"/>
          <w:sz w:val="24"/>
          <w:szCs w:val="24"/>
        </w:rPr>
        <w:t xml:space="preserve">, </w:t>
      </w:r>
      <w:r w:rsidR="002850DB" w:rsidRPr="00B84387">
        <w:rPr>
          <w:rFonts w:ascii="Times New Roman" w:hAnsi="Times New Roman" w:cs="Times New Roman"/>
          <w:sz w:val="24"/>
          <w:szCs w:val="24"/>
        </w:rPr>
        <w:t xml:space="preserve">after which </w:t>
      </w:r>
      <w:r w:rsidR="00CA1B57" w:rsidRPr="00B84387">
        <w:rPr>
          <w:rFonts w:ascii="Times New Roman" w:hAnsi="Times New Roman" w:cs="Times New Roman"/>
          <w:sz w:val="24"/>
          <w:szCs w:val="24"/>
        </w:rPr>
        <w:t>the</w:t>
      </w:r>
      <w:r w:rsidR="005112EA">
        <w:rPr>
          <w:rFonts w:ascii="Times New Roman" w:hAnsi="Times New Roman" w:cs="Times New Roman"/>
          <w:sz w:val="24"/>
          <w:szCs w:val="24"/>
        </w:rPr>
        <w:t>y</w:t>
      </w:r>
      <w:r w:rsidR="00CA1B57" w:rsidRPr="00B84387">
        <w:rPr>
          <w:rFonts w:ascii="Times New Roman" w:hAnsi="Times New Roman" w:cs="Times New Roman"/>
          <w:sz w:val="24"/>
          <w:szCs w:val="24"/>
        </w:rPr>
        <w:t xml:space="preserve"> </w:t>
      </w:r>
      <w:r w:rsidR="002850DB" w:rsidRPr="00B84387">
        <w:rPr>
          <w:rFonts w:ascii="Times New Roman" w:hAnsi="Times New Roman" w:cs="Times New Roman"/>
          <w:sz w:val="24"/>
          <w:szCs w:val="24"/>
        </w:rPr>
        <w:t xml:space="preserve">can </w:t>
      </w:r>
      <w:r w:rsidR="00C80274" w:rsidRPr="00B84387">
        <w:rPr>
          <w:rFonts w:ascii="Times New Roman" w:hAnsi="Times New Roman" w:cs="Times New Roman"/>
          <w:sz w:val="24"/>
          <w:szCs w:val="24"/>
        </w:rPr>
        <w:t xml:space="preserve">be </w:t>
      </w:r>
      <w:r w:rsidR="00F56467" w:rsidRPr="00B84387">
        <w:rPr>
          <w:rFonts w:ascii="Times New Roman" w:hAnsi="Times New Roman" w:cs="Times New Roman"/>
          <w:sz w:val="24"/>
          <w:szCs w:val="24"/>
        </w:rPr>
        <w:t xml:space="preserve">applied as outcome variables in new datasets to </w:t>
      </w:r>
      <w:r w:rsidR="00C80274" w:rsidRPr="00B84387">
        <w:rPr>
          <w:rFonts w:ascii="Times New Roman" w:hAnsi="Times New Roman" w:cs="Times New Roman"/>
          <w:sz w:val="24"/>
          <w:szCs w:val="24"/>
        </w:rPr>
        <w:t>test hypotheses</w:t>
      </w:r>
      <w:r w:rsidR="00F56467" w:rsidRPr="00B84387">
        <w:rPr>
          <w:rFonts w:ascii="Times New Roman" w:hAnsi="Times New Roman" w:cs="Times New Roman"/>
          <w:sz w:val="24"/>
          <w:szCs w:val="24"/>
        </w:rPr>
        <w:t>.</w:t>
      </w:r>
    </w:p>
    <w:p w14:paraId="6B71E781" w14:textId="6A5F1188" w:rsidR="00382037" w:rsidRPr="00B84387" w:rsidRDefault="00D03997" w:rsidP="004E6477">
      <w:pPr>
        <w:rPr>
          <w:rFonts w:ascii="Times New Roman" w:hAnsi="Times New Roman" w:cs="Times New Roman"/>
          <w:sz w:val="24"/>
          <w:szCs w:val="24"/>
        </w:rPr>
      </w:pPr>
      <w:r w:rsidRPr="00B84387">
        <w:rPr>
          <w:rFonts w:ascii="Times New Roman" w:hAnsi="Times New Roman" w:cs="Times New Roman"/>
          <w:b/>
          <w:bCs/>
          <w:sz w:val="24"/>
          <w:szCs w:val="24"/>
        </w:rPr>
        <w:t>Study objective</w:t>
      </w:r>
      <w:r w:rsidR="002810E6" w:rsidRPr="00B84387">
        <w:rPr>
          <w:rFonts w:ascii="Times New Roman" w:hAnsi="Times New Roman" w:cs="Times New Roman"/>
          <w:b/>
          <w:bCs/>
          <w:sz w:val="24"/>
          <w:szCs w:val="24"/>
        </w:rPr>
        <w:t>.</w:t>
      </w:r>
      <w:r w:rsidR="002810E6" w:rsidRPr="00B84387">
        <w:rPr>
          <w:rFonts w:ascii="Times New Roman" w:hAnsi="Times New Roman" w:cs="Times New Roman"/>
          <w:sz w:val="24"/>
          <w:szCs w:val="24"/>
        </w:rPr>
        <w:t xml:space="preserve"> </w:t>
      </w:r>
      <w:r w:rsidR="00382037" w:rsidRPr="00B84387">
        <w:rPr>
          <w:rFonts w:ascii="Times New Roman" w:hAnsi="Times New Roman" w:cs="Times New Roman"/>
          <w:sz w:val="24"/>
          <w:szCs w:val="24"/>
        </w:rPr>
        <w:t xml:space="preserve">At a population level, we might expect that – just as historical </w:t>
      </w:r>
      <w:r w:rsidR="007171E0" w:rsidRPr="00B84387">
        <w:rPr>
          <w:rFonts w:ascii="Times New Roman" w:hAnsi="Times New Roman" w:cs="Times New Roman"/>
          <w:sz w:val="24"/>
          <w:szCs w:val="24"/>
        </w:rPr>
        <w:t>increases</w:t>
      </w:r>
      <w:r w:rsidR="00382037" w:rsidRPr="00B84387">
        <w:rPr>
          <w:rFonts w:ascii="Times New Roman" w:hAnsi="Times New Roman" w:cs="Times New Roman"/>
          <w:sz w:val="24"/>
          <w:szCs w:val="24"/>
        </w:rPr>
        <w:t xml:space="preserve"> in life expectancy have been mediated through gains in healthspan and decelerated aging </w:t>
      </w:r>
      <w:r w:rsidR="000C67A7" w:rsidRPr="00B84387">
        <w:rPr>
          <w:rFonts w:ascii="Times New Roman" w:hAnsi="Times New Roman" w:cs="Times New Roman"/>
          <w:sz w:val="24"/>
          <w:szCs w:val="24"/>
        </w:rPr>
        <w:t>(19,59,60)</w:t>
      </w:r>
      <w:r w:rsidR="00382037" w:rsidRPr="00B84387">
        <w:rPr>
          <w:rFonts w:ascii="Times New Roman" w:hAnsi="Times New Roman" w:cs="Times New Roman"/>
          <w:sz w:val="24"/>
          <w:szCs w:val="24"/>
        </w:rPr>
        <w:t xml:space="preserve"> – decreases in life expectancy signal broader health decrements related to aging-related physiological decline </w:t>
      </w:r>
      <w:r w:rsidR="000C67A7" w:rsidRPr="00B84387">
        <w:rPr>
          <w:rFonts w:ascii="Times New Roman" w:hAnsi="Times New Roman" w:cs="Times New Roman"/>
          <w:sz w:val="24"/>
          <w:szCs w:val="24"/>
        </w:rPr>
        <w:t>(61)</w:t>
      </w:r>
      <w:r w:rsidR="00382037" w:rsidRPr="00B84387">
        <w:rPr>
          <w:rFonts w:ascii="Times New Roman" w:hAnsi="Times New Roman" w:cs="Times New Roman"/>
          <w:sz w:val="24"/>
          <w:szCs w:val="24"/>
        </w:rPr>
        <w:t xml:space="preserve">. </w:t>
      </w:r>
      <w:r w:rsidR="004E6477" w:rsidRPr="00B84387">
        <w:rPr>
          <w:rFonts w:ascii="Times New Roman" w:hAnsi="Times New Roman" w:cs="Times New Roman"/>
          <w:sz w:val="24"/>
          <w:szCs w:val="24"/>
        </w:rPr>
        <w:t xml:space="preserve">To explore </w:t>
      </w:r>
      <w:r w:rsidR="00D53741" w:rsidRPr="00B84387">
        <w:rPr>
          <w:rFonts w:ascii="Times New Roman" w:hAnsi="Times New Roman" w:cs="Times New Roman"/>
          <w:sz w:val="24"/>
          <w:szCs w:val="24"/>
        </w:rPr>
        <w:t>the extent to which the causes of pre-pandemic declines in U.S. life expectancy also impacted underlying health trajectories</w:t>
      </w:r>
      <w:r w:rsidR="009C35A9" w:rsidRPr="00B84387">
        <w:rPr>
          <w:rFonts w:ascii="Times New Roman" w:hAnsi="Times New Roman" w:cs="Times New Roman"/>
          <w:sz w:val="24"/>
          <w:szCs w:val="24"/>
        </w:rPr>
        <w:t xml:space="preserve"> across population groups, </w:t>
      </w:r>
      <w:r w:rsidR="0094779A" w:rsidRPr="00B84387">
        <w:rPr>
          <w:rFonts w:ascii="Times New Roman" w:hAnsi="Times New Roman" w:cs="Times New Roman"/>
          <w:sz w:val="24"/>
          <w:szCs w:val="24"/>
        </w:rPr>
        <w:t xml:space="preserve">we analyzed national trends in population biological aging </w:t>
      </w:r>
      <w:r w:rsidRPr="00B84387">
        <w:rPr>
          <w:rFonts w:ascii="Times New Roman" w:hAnsi="Times New Roman" w:cs="Times New Roman"/>
          <w:sz w:val="24"/>
          <w:szCs w:val="24"/>
        </w:rPr>
        <w:t>over the first two decades of the 21</w:t>
      </w:r>
      <w:r w:rsidRPr="00B84387">
        <w:rPr>
          <w:rFonts w:ascii="Times New Roman" w:hAnsi="Times New Roman" w:cs="Times New Roman"/>
          <w:sz w:val="24"/>
          <w:szCs w:val="24"/>
          <w:vertAlign w:val="superscript"/>
        </w:rPr>
        <w:t>st</w:t>
      </w:r>
      <w:r w:rsidRPr="00B84387">
        <w:rPr>
          <w:rFonts w:ascii="Times New Roman" w:hAnsi="Times New Roman" w:cs="Times New Roman"/>
          <w:sz w:val="24"/>
          <w:szCs w:val="24"/>
        </w:rPr>
        <w:t xml:space="preserve"> century</w:t>
      </w:r>
      <w:r w:rsidR="00134EF3" w:rsidRPr="00B84387">
        <w:rPr>
          <w:rFonts w:ascii="Times New Roman" w:hAnsi="Times New Roman" w:cs="Times New Roman"/>
          <w:sz w:val="24"/>
          <w:szCs w:val="24"/>
        </w:rPr>
        <w:t xml:space="preserve"> using data from the continuous NHANES (1999-2018)</w:t>
      </w:r>
      <w:r w:rsidRPr="00B84387">
        <w:rPr>
          <w:rFonts w:ascii="Times New Roman" w:hAnsi="Times New Roman" w:cs="Times New Roman"/>
          <w:sz w:val="24"/>
          <w:szCs w:val="24"/>
        </w:rPr>
        <w:t xml:space="preserve">. </w:t>
      </w:r>
    </w:p>
    <w:p w14:paraId="4D009750" w14:textId="5EAA33E0" w:rsidR="004979E4" w:rsidRPr="00B84387" w:rsidRDefault="00382037" w:rsidP="00E00B26">
      <w:pPr>
        <w:ind w:firstLine="720"/>
        <w:rPr>
          <w:rFonts w:ascii="Times New Roman" w:hAnsi="Times New Roman" w:cs="Times New Roman"/>
          <w:i/>
          <w:iCs/>
          <w:sz w:val="24"/>
          <w:szCs w:val="24"/>
        </w:rPr>
      </w:pPr>
      <w:r w:rsidRPr="00B84387">
        <w:rPr>
          <w:rFonts w:ascii="Times New Roman" w:hAnsi="Times New Roman" w:cs="Times New Roman"/>
          <w:sz w:val="24"/>
          <w:szCs w:val="24"/>
        </w:rPr>
        <w:t xml:space="preserve">A previous study </w:t>
      </w:r>
      <w:r w:rsidR="00585F16" w:rsidRPr="00B84387">
        <w:rPr>
          <w:rFonts w:ascii="Times New Roman" w:hAnsi="Times New Roman" w:cs="Times New Roman"/>
          <w:sz w:val="24"/>
          <w:szCs w:val="24"/>
        </w:rPr>
        <w:t>observed change</w:t>
      </w:r>
      <w:r w:rsidR="00F218DD" w:rsidRPr="00B84387">
        <w:rPr>
          <w:rFonts w:ascii="Times New Roman" w:hAnsi="Times New Roman" w:cs="Times New Roman"/>
          <w:sz w:val="24"/>
          <w:szCs w:val="24"/>
        </w:rPr>
        <w:t>s</w:t>
      </w:r>
      <w:r w:rsidR="00585F16" w:rsidRPr="00B84387">
        <w:rPr>
          <w:rFonts w:ascii="Times New Roman" w:hAnsi="Times New Roman" w:cs="Times New Roman"/>
          <w:sz w:val="24"/>
          <w:szCs w:val="24"/>
        </w:rPr>
        <w:t xml:space="preserve"> in </w:t>
      </w:r>
      <w:r w:rsidR="00306031" w:rsidRPr="00B84387">
        <w:rPr>
          <w:rFonts w:ascii="Times New Roman" w:hAnsi="Times New Roman" w:cs="Times New Roman"/>
          <w:sz w:val="24"/>
          <w:szCs w:val="24"/>
        </w:rPr>
        <w:t xml:space="preserve">population </w:t>
      </w:r>
      <w:r w:rsidR="00134EF3" w:rsidRPr="00B84387">
        <w:rPr>
          <w:rFonts w:ascii="Times New Roman" w:hAnsi="Times New Roman" w:cs="Times New Roman"/>
          <w:sz w:val="24"/>
          <w:szCs w:val="24"/>
        </w:rPr>
        <w:t xml:space="preserve">aging </w:t>
      </w:r>
      <w:r w:rsidR="003D645A" w:rsidRPr="00B84387">
        <w:rPr>
          <w:rFonts w:ascii="Times New Roman" w:hAnsi="Times New Roman" w:cs="Times New Roman"/>
          <w:sz w:val="24"/>
          <w:szCs w:val="24"/>
        </w:rPr>
        <w:t>between the NHANES</w:t>
      </w:r>
      <w:r w:rsidR="0082320B" w:rsidRPr="00B84387">
        <w:rPr>
          <w:rFonts w:ascii="Times New Roman" w:hAnsi="Times New Roman" w:cs="Times New Roman"/>
          <w:sz w:val="24"/>
          <w:szCs w:val="24"/>
        </w:rPr>
        <w:t xml:space="preserve"> III</w:t>
      </w:r>
      <w:r w:rsidR="003D645A" w:rsidRPr="00B84387">
        <w:rPr>
          <w:rFonts w:ascii="Times New Roman" w:hAnsi="Times New Roman" w:cs="Times New Roman"/>
          <w:sz w:val="24"/>
          <w:szCs w:val="24"/>
        </w:rPr>
        <w:t xml:space="preserve"> (1988-1994) and 2007-2010 continuous NHANES cohorts </w:t>
      </w:r>
      <w:r w:rsidR="000C67A7" w:rsidRPr="00B84387">
        <w:rPr>
          <w:rFonts w:ascii="Times New Roman" w:hAnsi="Times New Roman" w:cs="Times New Roman"/>
          <w:sz w:val="24"/>
          <w:szCs w:val="24"/>
        </w:rPr>
        <w:t>(60)</w:t>
      </w:r>
      <w:r w:rsidR="00DD5932" w:rsidRPr="00B84387">
        <w:rPr>
          <w:rFonts w:ascii="Times New Roman" w:hAnsi="Times New Roman" w:cs="Times New Roman"/>
          <w:sz w:val="24"/>
          <w:szCs w:val="24"/>
        </w:rPr>
        <w:t xml:space="preserve">. </w:t>
      </w:r>
      <w:r w:rsidR="00371DA1" w:rsidRPr="00B84387">
        <w:rPr>
          <w:rFonts w:ascii="Times New Roman" w:hAnsi="Times New Roman" w:cs="Times New Roman"/>
          <w:sz w:val="24"/>
          <w:szCs w:val="24"/>
        </w:rPr>
        <w:t xml:space="preserve">We </w:t>
      </w:r>
      <w:r w:rsidR="00A12E29" w:rsidRPr="00B84387">
        <w:rPr>
          <w:rFonts w:ascii="Times New Roman" w:hAnsi="Times New Roman" w:cs="Times New Roman"/>
          <w:sz w:val="24"/>
          <w:szCs w:val="24"/>
        </w:rPr>
        <w:t>extend</w:t>
      </w:r>
      <w:r w:rsidR="00371DA1" w:rsidRPr="00B84387">
        <w:rPr>
          <w:rFonts w:ascii="Times New Roman" w:hAnsi="Times New Roman" w:cs="Times New Roman"/>
          <w:sz w:val="24"/>
          <w:szCs w:val="24"/>
        </w:rPr>
        <w:t xml:space="preserve"> this work </w:t>
      </w:r>
      <w:r w:rsidRPr="00B84387">
        <w:rPr>
          <w:rFonts w:ascii="Times New Roman" w:hAnsi="Times New Roman" w:cs="Times New Roman"/>
          <w:sz w:val="24"/>
          <w:szCs w:val="24"/>
        </w:rPr>
        <w:t xml:space="preserve">in two </w:t>
      </w:r>
      <w:r w:rsidR="00A12E29" w:rsidRPr="00B84387">
        <w:rPr>
          <w:rFonts w:ascii="Times New Roman" w:hAnsi="Times New Roman" w:cs="Times New Roman"/>
          <w:sz w:val="24"/>
          <w:szCs w:val="24"/>
        </w:rPr>
        <w:t xml:space="preserve">key </w:t>
      </w:r>
      <w:r w:rsidRPr="00B84387">
        <w:rPr>
          <w:rFonts w:ascii="Times New Roman" w:hAnsi="Times New Roman" w:cs="Times New Roman"/>
          <w:sz w:val="24"/>
          <w:szCs w:val="24"/>
        </w:rPr>
        <w:t xml:space="preserve">ways. First, we </w:t>
      </w:r>
      <w:r w:rsidR="000C77F4" w:rsidRPr="00B84387">
        <w:rPr>
          <w:rFonts w:ascii="Times New Roman" w:hAnsi="Times New Roman" w:cs="Times New Roman"/>
          <w:sz w:val="24"/>
          <w:szCs w:val="24"/>
        </w:rPr>
        <w:t xml:space="preserve">extend the period over which population aging trends are analyzed, using </w:t>
      </w:r>
      <w:r w:rsidRPr="00B84387">
        <w:rPr>
          <w:rFonts w:ascii="Times New Roman" w:hAnsi="Times New Roman" w:cs="Times New Roman"/>
          <w:sz w:val="24"/>
          <w:szCs w:val="24"/>
        </w:rPr>
        <w:t xml:space="preserve">data </w:t>
      </w:r>
      <w:r w:rsidR="00B11B0D" w:rsidRPr="00B84387">
        <w:rPr>
          <w:rFonts w:ascii="Times New Roman" w:hAnsi="Times New Roman" w:cs="Times New Roman"/>
          <w:sz w:val="24"/>
          <w:szCs w:val="24"/>
        </w:rPr>
        <w:t>spanning</w:t>
      </w:r>
      <w:r w:rsidRPr="00B84387">
        <w:rPr>
          <w:rFonts w:ascii="Times New Roman" w:hAnsi="Times New Roman" w:cs="Times New Roman"/>
          <w:sz w:val="24"/>
          <w:szCs w:val="24"/>
        </w:rPr>
        <w:t xml:space="preserve"> the first two decades </w:t>
      </w:r>
      <w:r w:rsidR="000C77F4" w:rsidRPr="00B84387">
        <w:rPr>
          <w:rFonts w:ascii="Times New Roman" w:hAnsi="Times New Roman" w:cs="Times New Roman"/>
          <w:sz w:val="24"/>
          <w:szCs w:val="24"/>
        </w:rPr>
        <w:t>of</w:t>
      </w:r>
      <w:r w:rsidRPr="00B84387">
        <w:rPr>
          <w:rFonts w:ascii="Times New Roman" w:hAnsi="Times New Roman" w:cs="Times New Roman"/>
          <w:sz w:val="24"/>
          <w:szCs w:val="24"/>
        </w:rPr>
        <w:t xml:space="preserve"> the 21</w:t>
      </w:r>
      <w:r w:rsidRPr="00B84387">
        <w:rPr>
          <w:rFonts w:ascii="Times New Roman" w:hAnsi="Times New Roman" w:cs="Times New Roman"/>
          <w:sz w:val="24"/>
          <w:szCs w:val="24"/>
          <w:vertAlign w:val="superscript"/>
        </w:rPr>
        <w:t>st</w:t>
      </w:r>
      <w:r w:rsidRPr="00B84387">
        <w:rPr>
          <w:rFonts w:ascii="Times New Roman" w:hAnsi="Times New Roman" w:cs="Times New Roman"/>
          <w:sz w:val="24"/>
          <w:szCs w:val="24"/>
        </w:rPr>
        <w:t xml:space="preserve"> century</w:t>
      </w:r>
      <w:r w:rsidR="000C77F4" w:rsidRPr="00B84387">
        <w:rPr>
          <w:rFonts w:ascii="Times New Roman" w:hAnsi="Times New Roman" w:cs="Times New Roman"/>
          <w:sz w:val="24"/>
          <w:szCs w:val="24"/>
        </w:rPr>
        <w:t xml:space="preserve"> (1999-2018)</w:t>
      </w:r>
      <w:r w:rsidR="00371DA1" w:rsidRPr="00B84387">
        <w:rPr>
          <w:rFonts w:ascii="Times New Roman" w:hAnsi="Times New Roman" w:cs="Times New Roman"/>
          <w:sz w:val="24"/>
          <w:szCs w:val="24"/>
        </w:rPr>
        <w:t xml:space="preserve">. </w:t>
      </w:r>
      <w:r w:rsidR="00A12E29" w:rsidRPr="00B84387">
        <w:rPr>
          <w:rFonts w:ascii="Times New Roman" w:hAnsi="Times New Roman" w:cs="Times New Roman"/>
          <w:sz w:val="24"/>
          <w:szCs w:val="24"/>
        </w:rPr>
        <w:t xml:space="preserve">This allows for more granular observation of population </w:t>
      </w:r>
      <w:r w:rsidR="00A83177" w:rsidRPr="00B84387">
        <w:rPr>
          <w:rFonts w:ascii="Times New Roman" w:hAnsi="Times New Roman" w:cs="Times New Roman"/>
          <w:sz w:val="24"/>
          <w:szCs w:val="24"/>
        </w:rPr>
        <w:t>aging</w:t>
      </w:r>
      <w:r w:rsidR="00A12E29" w:rsidRPr="00B84387">
        <w:rPr>
          <w:rFonts w:ascii="Times New Roman" w:hAnsi="Times New Roman" w:cs="Times New Roman"/>
          <w:sz w:val="24"/>
          <w:szCs w:val="24"/>
        </w:rPr>
        <w:t xml:space="preserve"> trajectories over the period </w:t>
      </w:r>
      <w:r w:rsidR="00F218DD" w:rsidRPr="00B84387">
        <w:rPr>
          <w:rFonts w:ascii="Times New Roman" w:hAnsi="Times New Roman" w:cs="Times New Roman"/>
          <w:sz w:val="24"/>
          <w:szCs w:val="24"/>
        </w:rPr>
        <w:t>when</w:t>
      </w:r>
      <w:r w:rsidR="00A12E29" w:rsidRPr="00B84387">
        <w:rPr>
          <w:rFonts w:ascii="Times New Roman" w:hAnsi="Times New Roman" w:cs="Times New Roman"/>
          <w:sz w:val="24"/>
          <w:szCs w:val="24"/>
        </w:rPr>
        <w:t xml:space="preserve"> </w:t>
      </w:r>
      <w:r w:rsidR="009D3F34" w:rsidRPr="00B84387">
        <w:rPr>
          <w:rFonts w:ascii="Times New Roman" w:hAnsi="Times New Roman" w:cs="Times New Roman"/>
          <w:sz w:val="24"/>
          <w:szCs w:val="24"/>
        </w:rPr>
        <w:t xml:space="preserve">U.S. </w:t>
      </w:r>
      <w:r w:rsidR="00A12E29" w:rsidRPr="00B84387">
        <w:rPr>
          <w:rFonts w:ascii="Times New Roman" w:hAnsi="Times New Roman" w:cs="Times New Roman"/>
          <w:sz w:val="24"/>
          <w:szCs w:val="24"/>
        </w:rPr>
        <w:t xml:space="preserve">life expectancy </w:t>
      </w:r>
      <w:r w:rsidR="00F218DD" w:rsidRPr="00B84387">
        <w:rPr>
          <w:rFonts w:ascii="Times New Roman" w:hAnsi="Times New Roman" w:cs="Times New Roman"/>
          <w:sz w:val="24"/>
          <w:szCs w:val="24"/>
        </w:rPr>
        <w:t>began to stagnate and/or decrease</w:t>
      </w:r>
      <w:r w:rsidR="00A12E29" w:rsidRPr="00B84387">
        <w:rPr>
          <w:rFonts w:ascii="Times New Roman" w:hAnsi="Times New Roman" w:cs="Times New Roman"/>
          <w:sz w:val="24"/>
          <w:szCs w:val="24"/>
        </w:rPr>
        <w:t>.</w:t>
      </w:r>
      <w:r w:rsidR="0015352E" w:rsidRPr="00B84387">
        <w:rPr>
          <w:rFonts w:ascii="Times New Roman" w:hAnsi="Times New Roman" w:cs="Times New Roman"/>
          <w:sz w:val="24"/>
          <w:szCs w:val="24"/>
        </w:rPr>
        <w:t xml:space="preserve"> </w:t>
      </w:r>
      <w:r w:rsidR="00371DA1" w:rsidRPr="00B84387">
        <w:rPr>
          <w:rFonts w:ascii="Times New Roman" w:hAnsi="Times New Roman" w:cs="Times New Roman"/>
          <w:sz w:val="24"/>
          <w:szCs w:val="24"/>
        </w:rPr>
        <w:t xml:space="preserve">Second, </w:t>
      </w:r>
      <w:r w:rsidR="00484663" w:rsidRPr="00B84387">
        <w:rPr>
          <w:rFonts w:ascii="Times New Roman" w:hAnsi="Times New Roman" w:cs="Times New Roman"/>
          <w:sz w:val="24"/>
          <w:szCs w:val="24"/>
        </w:rPr>
        <w:t>we investigate</w:t>
      </w:r>
      <w:r w:rsidR="00DD5932" w:rsidRPr="00B84387">
        <w:rPr>
          <w:rFonts w:ascii="Times New Roman" w:hAnsi="Times New Roman" w:cs="Times New Roman"/>
          <w:sz w:val="24"/>
          <w:szCs w:val="24"/>
        </w:rPr>
        <w:t xml:space="preserve"> </w:t>
      </w:r>
      <w:r w:rsidR="000C77F4" w:rsidRPr="00B84387">
        <w:rPr>
          <w:rFonts w:ascii="Times New Roman" w:hAnsi="Times New Roman" w:cs="Times New Roman"/>
          <w:sz w:val="24"/>
          <w:szCs w:val="24"/>
        </w:rPr>
        <w:t xml:space="preserve">the extent to which time trends in biological aging were attributable to age, period, and cohort effects using </w:t>
      </w:r>
      <w:r w:rsidR="006C2F27" w:rsidRPr="00B84387">
        <w:rPr>
          <w:rFonts w:ascii="Times New Roman" w:hAnsi="Times New Roman" w:cs="Times New Roman"/>
          <w:sz w:val="24"/>
          <w:szCs w:val="24"/>
        </w:rPr>
        <w:t xml:space="preserve">a </w:t>
      </w:r>
      <w:r w:rsidR="000C77F4" w:rsidRPr="00B84387">
        <w:rPr>
          <w:rFonts w:ascii="Times New Roman" w:hAnsi="Times New Roman" w:cs="Times New Roman"/>
          <w:sz w:val="24"/>
          <w:szCs w:val="24"/>
        </w:rPr>
        <w:t xml:space="preserve">formal age-period-cohort (APC) decomposition method. </w:t>
      </w:r>
      <w:r w:rsidR="0015352E" w:rsidRPr="00B84387">
        <w:rPr>
          <w:rFonts w:ascii="Times New Roman" w:hAnsi="Times New Roman" w:cs="Times New Roman"/>
          <w:sz w:val="24"/>
          <w:szCs w:val="24"/>
        </w:rPr>
        <w:t xml:space="preserve">By evaluating </w:t>
      </w:r>
      <w:r w:rsidR="004979E4" w:rsidRPr="00B84387">
        <w:rPr>
          <w:rFonts w:ascii="Times New Roman" w:hAnsi="Times New Roman" w:cs="Times New Roman"/>
          <w:sz w:val="24"/>
          <w:szCs w:val="24"/>
        </w:rPr>
        <w:t>the extent to which these patterns diverge</w:t>
      </w:r>
      <w:r w:rsidR="00566E9C" w:rsidRPr="00B84387">
        <w:rPr>
          <w:rFonts w:ascii="Times New Roman" w:hAnsi="Times New Roman" w:cs="Times New Roman"/>
          <w:sz w:val="24"/>
          <w:szCs w:val="24"/>
        </w:rPr>
        <w:t>d</w:t>
      </w:r>
      <w:r w:rsidR="004979E4" w:rsidRPr="00B84387">
        <w:rPr>
          <w:rFonts w:ascii="Times New Roman" w:hAnsi="Times New Roman" w:cs="Times New Roman"/>
          <w:sz w:val="24"/>
          <w:szCs w:val="24"/>
        </w:rPr>
        <w:t xml:space="preserve"> by racialized group membership</w:t>
      </w:r>
      <w:r w:rsidR="0015352E" w:rsidRPr="00B84387">
        <w:rPr>
          <w:rFonts w:ascii="Times New Roman" w:hAnsi="Times New Roman" w:cs="Times New Roman"/>
          <w:sz w:val="24"/>
          <w:szCs w:val="24"/>
        </w:rPr>
        <w:t xml:space="preserve">, we </w:t>
      </w:r>
      <w:r w:rsidR="003F2593" w:rsidRPr="00B84387">
        <w:rPr>
          <w:rFonts w:ascii="Times New Roman" w:hAnsi="Times New Roman" w:cs="Times New Roman"/>
          <w:sz w:val="24"/>
          <w:szCs w:val="24"/>
        </w:rPr>
        <w:t>can determine</w:t>
      </w:r>
      <w:r w:rsidR="0015352E" w:rsidRPr="00B84387">
        <w:rPr>
          <w:rFonts w:ascii="Times New Roman" w:hAnsi="Times New Roman" w:cs="Times New Roman"/>
          <w:sz w:val="24"/>
          <w:szCs w:val="24"/>
        </w:rPr>
        <w:t xml:space="preserve"> whether </w:t>
      </w:r>
      <w:r w:rsidR="00E9113C" w:rsidRPr="00B84387">
        <w:rPr>
          <w:rFonts w:ascii="Times New Roman" w:hAnsi="Times New Roman" w:cs="Times New Roman"/>
          <w:sz w:val="24"/>
          <w:szCs w:val="24"/>
        </w:rPr>
        <w:t xml:space="preserve">accelerated </w:t>
      </w:r>
      <w:r w:rsidR="0015352E" w:rsidRPr="00B84387">
        <w:rPr>
          <w:rFonts w:ascii="Times New Roman" w:hAnsi="Times New Roman" w:cs="Times New Roman"/>
          <w:sz w:val="24"/>
          <w:szCs w:val="24"/>
        </w:rPr>
        <w:t>biological aging trajectories are concentrated in</w:t>
      </w:r>
      <w:r w:rsidR="0034554F" w:rsidRPr="00B84387">
        <w:rPr>
          <w:rFonts w:ascii="Times New Roman" w:hAnsi="Times New Roman" w:cs="Times New Roman"/>
          <w:sz w:val="24"/>
          <w:szCs w:val="24"/>
        </w:rPr>
        <w:t xml:space="preserve"> the demographic groups and birth cohorts </w:t>
      </w:r>
      <w:r w:rsidR="00644EAB" w:rsidRPr="00B84387">
        <w:rPr>
          <w:rFonts w:ascii="Times New Roman" w:hAnsi="Times New Roman" w:cs="Times New Roman"/>
          <w:sz w:val="24"/>
          <w:szCs w:val="24"/>
        </w:rPr>
        <w:t>with the highest mortality risk</w:t>
      </w:r>
      <w:r w:rsidR="004979E4" w:rsidRPr="00B84387">
        <w:rPr>
          <w:rFonts w:ascii="Times New Roman" w:hAnsi="Times New Roman" w:cs="Times New Roman"/>
          <w:sz w:val="24"/>
          <w:szCs w:val="24"/>
        </w:rPr>
        <w:t>.</w:t>
      </w:r>
      <w:r w:rsidR="00793DC1" w:rsidRPr="00B84387">
        <w:rPr>
          <w:rFonts w:ascii="Times New Roman" w:hAnsi="Times New Roman" w:cs="Times New Roman"/>
          <w:sz w:val="24"/>
          <w:szCs w:val="24"/>
        </w:rPr>
        <w:t xml:space="preserve"> </w:t>
      </w:r>
      <w:r w:rsidR="00372117" w:rsidRPr="00B84387">
        <w:rPr>
          <w:rFonts w:ascii="Times New Roman" w:hAnsi="Times New Roman" w:cs="Times New Roman"/>
          <w:sz w:val="24"/>
          <w:szCs w:val="24"/>
        </w:rPr>
        <w:t>Together with existing data on life expectancy trends, findings from this study can inform</w:t>
      </w:r>
      <w:r w:rsidR="008C2248" w:rsidRPr="00B84387">
        <w:rPr>
          <w:rFonts w:ascii="Times New Roman" w:hAnsi="Times New Roman" w:cs="Times New Roman"/>
          <w:sz w:val="24"/>
          <w:szCs w:val="24"/>
        </w:rPr>
        <w:t xml:space="preserve"> the</w:t>
      </w:r>
      <w:r w:rsidR="00372117" w:rsidRPr="00B84387">
        <w:rPr>
          <w:rFonts w:ascii="Times New Roman" w:hAnsi="Times New Roman" w:cs="Times New Roman"/>
          <w:sz w:val="24"/>
          <w:szCs w:val="24"/>
        </w:rPr>
        <w:t xml:space="preserve"> development of appropriately targeted</w:t>
      </w:r>
      <w:r w:rsidR="00253C4E" w:rsidRPr="00B84387">
        <w:rPr>
          <w:rFonts w:ascii="Times New Roman" w:hAnsi="Times New Roman" w:cs="Times New Roman"/>
          <w:sz w:val="24"/>
          <w:szCs w:val="24"/>
        </w:rPr>
        <w:t xml:space="preserve"> and</w:t>
      </w:r>
      <w:r w:rsidR="00372117" w:rsidRPr="00B84387">
        <w:rPr>
          <w:rFonts w:ascii="Times New Roman" w:hAnsi="Times New Roman" w:cs="Times New Roman"/>
          <w:sz w:val="24"/>
          <w:szCs w:val="24"/>
        </w:rPr>
        <w:t xml:space="preserve"> timely public health interventions</w:t>
      </w:r>
      <w:r w:rsidR="00904CD5" w:rsidRPr="00B84387">
        <w:rPr>
          <w:rFonts w:ascii="Times New Roman" w:hAnsi="Times New Roman" w:cs="Times New Roman"/>
          <w:sz w:val="24"/>
          <w:szCs w:val="24"/>
        </w:rPr>
        <w:t>.</w:t>
      </w:r>
    </w:p>
    <w:p w14:paraId="35988E31" w14:textId="22BEAE24" w:rsidR="00984D14" w:rsidRPr="00B84387" w:rsidRDefault="00323A83" w:rsidP="00984D14">
      <w:pPr>
        <w:pStyle w:val="Heading2"/>
        <w:rPr>
          <w:rFonts w:ascii="Times New Roman" w:hAnsi="Times New Roman" w:cs="Times New Roman"/>
          <w:sz w:val="24"/>
          <w:szCs w:val="24"/>
        </w:rPr>
      </w:pPr>
      <w:r w:rsidRPr="00B84387">
        <w:rPr>
          <w:rFonts w:ascii="Times New Roman" w:hAnsi="Times New Roman" w:cs="Times New Roman"/>
          <w:sz w:val="24"/>
          <w:szCs w:val="24"/>
        </w:rPr>
        <w:t>METHODS</w:t>
      </w:r>
    </w:p>
    <w:p w14:paraId="5E0DFEB6" w14:textId="3960F98B" w:rsidR="00984D14" w:rsidRPr="00B84387" w:rsidRDefault="00984D14" w:rsidP="00984D14">
      <w:pPr>
        <w:rPr>
          <w:rFonts w:ascii="Times New Roman" w:hAnsi="Times New Roman" w:cs="Times New Roman"/>
          <w:sz w:val="24"/>
          <w:szCs w:val="24"/>
        </w:rPr>
      </w:pPr>
      <w:r w:rsidRPr="00B84387">
        <w:rPr>
          <w:rFonts w:ascii="Times New Roman" w:hAnsi="Times New Roman" w:cs="Times New Roman"/>
          <w:b/>
          <w:bCs/>
          <w:sz w:val="24"/>
          <w:szCs w:val="24"/>
        </w:rPr>
        <w:t>Sample.</w:t>
      </w:r>
      <w:r w:rsidRPr="00B84387">
        <w:rPr>
          <w:rFonts w:ascii="Times New Roman" w:hAnsi="Times New Roman" w:cs="Times New Roman"/>
          <w:sz w:val="24"/>
          <w:szCs w:val="24"/>
        </w:rPr>
        <w:t xml:space="preserve"> </w:t>
      </w:r>
      <w:r w:rsidR="00C97100" w:rsidRPr="00B84387">
        <w:rPr>
          <w:rFonts w:ascii="Times New Roman" w:hAnsi="Times New Roman" w:cs="Times New Roman"/>
          <w:sz w:val="24"/>
          <w:szCs w:val="24"/>
        </w:rPr>
        <w:t>Data were drawn from the National Health and Nutrition Examination Surveys (NHANES), a collection of nationally</w:t>
      </w:r>
      <w:r w:rsidR="00F30864" w:rsidRPr="00B84387">
        <w:rPr>
          <w:rFonts w:ascii="Times New Roman" w:hAnsi="Times New Roman" w:cs="Times New Roman"/>
          <w:sz w:val="24"/>
          <w:szCs w:val="24"/>
        </w:rPr>
        <w:t>-</w:t>
      </w:r>
      <w:r w:rsidR="00C97100" w:rsidRPr="00B84387">
        <w:rPr>
          <w:rFonts w:ascii="Times New Roman" w:hAnsi="Times New Roman" w:cs="Times New Roman"/>
          <w:sz w:val="24"/>
          <w:szCs w:val="24"/>
        </w:rPr>
        <w:t>representative</w:t>
      </w:r>
      <w:r w:rsidR="00F30864" w:rsidRPr="00B84387">
        <w:rPr>
          <w:rFonts w:ascii="Times New Roman" w:hAnsi="Times New Roman" w:cs="Times New Roman"/>
          <w:sz w:val="24"/>
          <w:szCs w:val="24"/>
        </w:rPr>
        <w:t>, cross-sectional</w:t>
      </w:r>
      <w:r w:rsidR="00C97100" w:rsidRPr="00B84387">
        <w:rPr>
          <w:rFonts w:ascii="Times New Roman" w:hAnsi="Times New Roman" w:cs="Times New Roman"/>
          <w:sz w:val="24"/>
          <w:szCs w:val="24"/>
        </w:rPr>
        <w:t xml:space="preserve"> health surveys of the </w:t>
      </w:r>
      <w:r w:rsidR="000C67A7" w:rsidRPr="00B84387">
        <w:rPr>
          <w:rFonts w:ascii="Times New Roman" w:hAnsi="Times New Roman" w:cs="Times New Roman"/>
          <w:sz w:val="24"/>
          <w:szCs w:val="24"/>
        </w:rPr>
        <w:t xml:space="preserve">noninstitutionalized civilian </w:t>
      </w:r>
      <w:r w:rsidR="00C97100" w:rsidRPr="00B84387">
        <w:rPr>
          <w:rFonts w:ascii="Times New Roman" w:hAnsi="Times New Roman" w:cs="Times New Roman"/>
          <w:sz w:val="24"/>
          <w:szCs w:val="24"/>
        </w:rPr>
        <w:t>U.S. population conducted since the 1960s</w:t>
      </w:r>
      <w:r w:rsidR="000C67A7" w:rsidRPr="00B84387">
        <w:rPr>
          <w:rFonts w:ascii="Times New Roman" w:hAnsi="Times New Roman" w:cs="Times New Roman"/>
          <w:sz w:val="24"/>
          <w:szCs w:val="24"/>
        </w:rPr>
        <w:t xml:space="preserve"> and continuing through the present day.</w:t>
      </w:r>
      <w:r w:rsidR="009B37CC" w:rsidRPr="00B84387">
        <w:rPr>
          <w:rFonts w:ascii="Times New Roman" w:hAnsi="Times New Roman" w:cs="Times New Roman"/>
          <w:sz w:val="24"/>
          <w:szCs w:val="24"/>
        </w:rPr>
        <w:t xml:space="preserve"> </w:t>
      </w:r>
      <w:r w:rsidR="00802A56" w:rsidRPr="00B84387">
        <w:rPr>
          <w:rFonts w:ascii="Times New Roman" w:hAnsi="Times New Roman" w:cs="Times New Roman"/>
          <w:sz w:val="24"/>
          <w:szCs w:val="24"/>
        </w:rPr>
        <w:t xml:space="preserve">Survey procedures have previously been described in detail </w:t>
      </w:r>
      <w:r w:rsidR="00802A56" w:rsidRPr="00B84387">
        <w:rPr>
          <w:rFonts w:ascii="Times New Roman" w:hAnsi="Times New Roman" w:cs="Times New Roman"/>
          <w:kern w:val="0"/>
          <w:sz w:val="24"/>
          <w:szCs w:val="24"/>
        </w:rPr>
        <w:t>(62–67)</w:t>
      </w:r>
      <w:r w:rsidR="00802A56" w:rsidRPr="00B84387">
        <w:rPr>
          <w:rFonts w:ascii="Times New Roman" w:hAnsi="Times New Roman" w:cs="Times New Roman"/>
          <w:sz w:val="24"/>
          <w:szCs w:val="24"/>
        </w:rPr>
        <w:t>. Briefly, t</w:t>
      </w:r>
      <w:r w:rsidR="009B37CC" w:rsidRPr="00B84387">
        <w:rPr>
          <w:rFonts w:ascii="Times New Roman" w:hAnsi="Times New Roman" w:cs="Times New Roman"/>
          <w:sz w:val="24"/>
          <w:szCs w:val="24"/>
        </w:rPr>
        <w:t xml:space="preserve">he aim of NHANES is to collect information about the </w:t>
      </w:r>
      <w:r w:rsidR="00D037C9" w:rsidRPr="00B84387">
        <w:rPr>
          <w:rFonts w:ascii="Times New Roman" w:hAnsi="Times New Roman" w:cs="Times New Roman"/>
          <w:sz w:val="24"/>
          <w:szCs w:val="24"/>
        </w:rPr>
        <w:t>distribution of</w:t>
      </w:r>
      <w:r w:rsidR="009B37CC" w:rsidRPr="00B84387">
        <w:rPr>
          <w:rFonts w:ascii="Times New Roman" w:hAnsi="Times New Roman" w:cs="Times New Roman"/>
          <w:sz w:val="24"/>
          <w:szCs w:val="24"/>
        </w:rPr>
        <w:t xml:space="preserve"> </w:t>
      </w:r>
      <w:r w:rsidR="00D037C9" w:rsidRPr="00B84387">
        <w:rPr>
          <w:rFonts w:ascii="Times New Roman" w:hAnsi="Times New Roman" w:cs="Times New Roman"/>
          <w:sz w:val="24"/>
          <w:szCs w:val="24"/>
        </w:rPr>
        <w:t xml:space="preserve">major </w:t>
      </w:r>
      <w:r w:rsidR="009B37CC" w:rsidRPr="00B84387">
        <w:rPr>
          <w:rFonts w:ascii="Times New Roman" w:hAnsi="Times New Roman" w:cs="Times New Roman"/>
          <w:sz w:val="24"/>
          <w:szCs w:val="24"/>
        </w:rPr>
        <w:t xml:space="preserve">diseases </w:t>
      </w:r>
      <w:r w:rsidR="00D037C9" w:rsidRPr="00B84387">
        <w:rPr>
          <w:rFonts w:ascii="Times New Roman" w:hAnsi="Times New Roman" w:cs="Times New Roman"/>
          <w:sz w:val="24"/>
          <w:szCs w:val="24"/>
        </w:rPr>
        <w:t xml:space="preserve">affecting the U.S. population, as well as </w:t>
      </w:r>
      <w:r w:rsidR="009B37CC" w:rsidRPr="00B84387">
        <w:rPr>
          <w:rFonts w:ascii="Times New Roman" w:hAnsi="Times New Roman" w:cs="Times New Roman"/>
          <w:sz w:val="24"/>
          <w:szCs w:val="24"/>
        </w:rPr>
        <w:t xml:space="preserve">risk factors </w:t>
      </w:r>
      <w:r w:rsidR="00D037C9" w:rsidRPr="00B84387">
        <w:rPr>
          <w:rFonts w:ascii="Times New Roman" w:hAnsi="Times New Roman" w:cs="Times New Roman"/>
          <w:sz w:val="24"/>
          <w:szCs w:val="24"/>
        </w:rPr>
        <w:t>for those diseases</w:t>
      </w:r>
      <w:r w:rsidR="009B37CC" w:rsidRPr="00B84387">
        <w:rPr>
          <w:rFonts w:ascii="Times New Roman" w:hAnsi="Times New Roman" w:cs="Times New Roman"/>
          <w:sz w:val="24"/>
          <w:szCs w:val="24"/>
        </w:rPr>
        <w:t>. NHANES interviews include a survey component, a physical exam, and for a subset of participants, the collection of biospecimens through a range of laboratory tests performed in Mobile Examination Centers (MEC).</w:t>
      </w:r>
      <w:r w:rsidRPr="00B84387">
        <w:rPr>
          <w:rFonts w:ascii="Times New Roman" w:hAnsi="Times New Roman" w:cs="Times New Roman"/>
          <w:sz w:val="24"/>
          <w:szCs w:val="24"/>
        </w:rPr>
        <w:t xml:space="preserve"> We used data from participants </w:t>
      </w:r>
      <w:r w:rsidR="00C004B5" w:rsidRPr="00B84387">
        <w:rPr>
          <w:rFonts w:ascii="Times New Roman" w:hAnsi="Times New Roman" w:cs="Times New Roman"/>
          <w:sz w:val="24"/>
          <w:szCs w:val="24"/>
        </w:rPr>
        <w:t xml:space="preserve">ages 20-80 </w:t>
      </w:r>
      <w:r w:rsidR="00974D22" w:rsidRPr="00B84387">
        <w:rPr>
          <w:rFonts w:ascii="Times New Roman" w:hAnsi="Times New Roman" w:cs="Times New Roman"/>
          <w:sz w:val="24"/>
          <w:szCs w:val="24"/>
        </w:rPr>
        <w:t xml:space="preserve">in </w:t>
      </w:r>
      <w:r w:rsidRPr="00B84387">
        <w:rPr>
          <w:rFonts w:ascii="Times New Roman" w:hAnsi="Times New Roman" w:cs="Times New Roman"/>
          <w:sz w:val="24"/>
          <w:szCs w:val="24"/>
        </w:rPr>
        <w:t xml:space="preserve">NHANES III (fielded 1988-1994) and the 1999-2018 waves of continuous NHANES (fielded biennially) who provided blood samples during the MEC exam and for whom measures of biological aging could be calculated. NHANES III data were used as the reference sample on </w:t>
      </w:r>
      <w:r w:rsidR="007951C6" w:rsidRPr="00B84387">
        <w:rPr>
          <w:rFonts w:ascii="Times New Roman" w:hAnsi="Times New Roman" w:cs="Times New Roman"/>
          <w:sz w:val="24"/>
          <w:szCs w:val="24"/>
        </w:rPr>
        <w:t>whom</w:t>
      </w:r>
      <w:r w:rsidRPr="00B84387">
        <w:rPr>
          <w:rFonts w:ascii="Times New Roman" w:hAnsi="Times New Roman" w:cs="Times New Roman"/>
          <w:sz w:val="24"/>
          <w:szCs w:val="24"/>
        </w:rPr>
        <w:t xml:space="preserve"> biological aging algorithms were trained, while continuous NHANES data were used as the primary analytic sample. </w:t>
      </w:r>
    </w:p>
    <w:p w14:paraId="59F16BE0" w14:textId="4C07E7B2" w:rsidR="00984D14" w:rsidRPr="00B84387" w:rsidRDefault="00984D14" w:rsidP="00984D14">
      <w:pPr>
        <w:rPr>
          <w:rFonts w:ascii="Times New Roman" w:hAnsi="Times New Roman" w:cs="Times New Roman"/>
          <w:sz w:val="24"/>
          <w:szCs w:val="24"/>
        </w:rPr>
      </w:pPr>
      <w:r w:rsidRPr="00B84387">
        <w:rPr>
          <w:rFonts w:ascii="Times New Roman" w:hAnsi="Times New Roman" w:cs="Times New Roman"/>
          <w:b/>
          <w:bCs/>
          <w:sz w:val="24"/>
          <w:szCs w:val="24"/>
        </w:rPr>
        <w:lastRenderedPageBreak/>
        <w:t xml:space="preserve">Biological </w:t>
      </w:r>
      <w:r w:rsidR="00F55806" w:rsidRPr="00B84387">
        <w:rPr>
          <w:rFonts w:ascii="Times New Roman" w:hAnsi="Times New Roman" w:cs="Times New Roman"/>
          <w:b/>
          <w:bCs/>
          <w:sz w:val="24"/>
          <w:szCs w:val="24"/>
        </w:rPr>
        <w:t>a</w:t>
      </w:r>
      <w:r w:rsidRPr="00B84387">
        <w:rPr>
          <w:rFonts w:ascii="Times New Roman" w:hAnsi="Times New Roman" w:cs="Times New Roman"/>
          <w:b/>
          <w:bCs/>
          <w:sz w:val="24"/>
          <w:szCs w:val="24"/>
        </w:rPr>
        <w:t>ging.</w:t>
      </w:r>
      <w:r w:rsidRPr="00B84387">
        <w:rPr>
          <w:rFonts w:ascii="Times New Roman" w:hAnsi="Times New Roman" w:cs="Times New Roman"/>
          <w:sz w:val="24"/>
          <w:szCs w:val="24"/>
        </w:rPr>
        <w:t xml:space="preserve"> </w:t>
      </w:r>
      <w:r w:rsidR="008D3361" w:rsidRPr="00B84387">
        <w:rPr>
          <w:rFonts w:ascii="Times New Roman" w:hAnsi="Times New Roman" w:cs="Times New Roman"/>
          <w:sz w:val="24"/>
          <w:szCs w:val="24"/>
        </w:rPr>
        <w:t xml:space="preserve">Biological aging is a construct </w:t>
      </w:r>
      <w:r w:rsidR="006163B9" w:rsidRPr="00B84387">
        <w:rPr>
          <w:rFonts w:ascii="Times New Roman" w:hAnsi="Times New Roman" w:cs="Times New Roman"/>
          <w:sz w:val="24"/>
          <w:szCs w:val="24"/>
        </w:rPr>
        <w:t>which first originated from</w:t>
      </w:r>
      <w:r w:rsidR="008D3361" w:rsidRPr="00B84387">
        <w:rPr>
          <w:rFonts w:ascii="Times New Roman" w:hAnsi="Times New Roman" w:cs="Times New Roman"/>
          <w:sz w:val="24"/>
          <w:szCs w:val="24"/>
        </w:rPr>
        <w:t xml:space="preserve"> the fields of geroscience and aging biology, </w:t>
      </w:r>
      <w:r w:rsidR="0065161B" w:rsidRPr="00B84387">
        <w:rPr>
          <w:rFonts w:ascii="Times New Roman" w:hAnsi="Times New Roman" w:cs="Times New Roman"/>
          <w:sz w:val="24"/>
          <w:szCs w:val="24"/>
        </w:rPr>
        <w:t>describing</w:t>
      </w:r>
      <w:r w:rsidR="007E1DC2" w:rsidRPr="00B84387">
        <w:rPr>
          <w:rFonts w:ascii="Times New Roman" w:hAnsi="Times New Roman" w:cs="Times New Roman"/>
          <w:sz w:val="24"/>
          <w:szCs w:val="24"/>
        </w:rPr>
        <w:t xml:space="preserve"> </w:t>
      </w:r>
      <w:r w:rsidR="00A37872" w:rsidRPr="00B84387">
        <w:rPr>
          <w:rFonts w:ascii="Times New Roman" w:hAnsi="Times New Roman" w:cs="Times New Roman"/>
          <w:sz w:val="24"/>
          <w:szCs w:val="24"/>
        </w:rPr>
        <w:t xml:space="preserve">the accumulation of physiological damage across multiple body systems that occurs with advancing chronological age </w:t>
      </w:r>
      <w:r w:rsidR="0033320B" w:rsidRPr="00B84387">
        <w:rPr>
          <w:rFonts w:ascii="Times New Roman" w:hAnsi="Times New Roman" w:cs="Times New Roman"/>
          <w:sz w:val="24"/>
          <w:szCs w:val="24"/>
        </w:rPr>
        <w:t>(27,28)</w:t>
      </w:r>
      <w:r w:rsidR="008D3361" w:rsidRPr="00B84387">
        <w:rPr>
          <w:rFonts w:ascii="Times New Roman" w:hAnsi="Times New Roman" w:cs="Times New Roman"/>
          <w:sz w:val="24"/>
          <w:szCs w:val="24"/>
        </w:rPr>
        <w:t xml:space="preserve">. </w:t>
      </w:r>
      <w:r w:rsidR="000A0EB3" w:rsidRPr="00B84387">
        <w:rPr>
          <w:rFonts w:ascii="Times New Roman" w:hAnsi="Times New Roman" w:cs="Times New Roman"/>
          <w:sz w:val="24"/>
          <w:szCs w:val="24"/>
        </w:rPr>
        <w:t xml:space="preserve">The term biological aging is used in contrast to the related but distinct concept of "chronological age," which describes the raw passage of time since birth. </w:t>
      </w:r>
      <w:r w:rsidR="007654C6" w:rsidRPr="00B84387">
        <w:rPr>
          <w:rFonts w:ascii="Times New Roman" w:hAnsi="Times New Roman" w:cs="Times New Roman"/>
          <w:sz w:val="24"/>
          <w:szCs w:val="24"/>
        </w:rPr>
        <w:t xml:space="preserve">While there is no gold standard of biological aging </w:t>
      </w:r>
      <w:r w:rsidR="00146FA6" w:rsidRPr="00B84387">
        <w:rPr>
          <w:rFonts w:ascii="Times New Roman" w:hAnsi="Times New Roman" w:cs="Times New Roman"/>
          <w:sz w:val="24"/>
          <w:szCs w:val="24"/>
        </w:rPr>
        <w:t>(47,55)</w:t>
      </w:r>
      <w:r w:rsidR="007654C6" w:rsidRPr="00B84387">
        <w:rPr>
          <w:rFonts w:ascii="Times New Roman" w:hAnsi="Times New Roman" w:cs="Times New Roman"/>
          <w:sz w:val="24"/>
          <w:szCs w:val="24"/>
        </w:rPr>
        <w:t xml:space="preserve">, the most widely-adopted measures to date use machine learning methods to integrate information across multiple clinical parameters collected from blood-chemistry and DNA-methylation data </w:t>
      </w:r>
      <w:r w:rsidR="00146FA6" w:rsidRPr="00B84387">
        <w:rPr>
          <w:rFonts w:ascii="Times New Roman" w:hAnsi="Times New Roman" w:cs="Times New Roman"/>
          <w:kern w:val="0"/>
          <w:sz w:val="24"/>
          <w:szCs w:val="24"/>
        </w:rPr>
        <w:t>(47,55–58)</w:t>
      </w:r>
      <w:r w:rsidR="007654C6" w:rsidRPr="00B84387">
        <w:rPr>
          <w:rFonts w:ascii="Times New Roman" w:hAnsi="Times New Roman" w:cs="Times New Roman"/>
          <w:sz w:val="24"/>
          <w:szCs w:val="24"/>
        </w:rPr>
        <w:t xml:space="preserve">. Algorithms incorporating these parameters are first trained on some aging-related outcome (e.g., chronological age, mortality risk, longitudinal rate of physiological decline). They can then be applied in new cohorts: “biological age” is assigned as the chronological age at which an individual’s predicted value on some aging-related parameter is approximately normal in the original reference sample on which the algorithm was trained. </w:t>
      </w:r>
      <w:r w:rsidRPr="00B84387">
        <w:rPr>
          <w:rFonts w:ascii="Times New Roman" w:hAnsi="Times New Roman" w:cs="Times New Roman"/>
          <w:sz w:val="24"/>
          <w:szCs w:val="24"/>
        </w:rPr>
        <w:t xml:space="preserve">These measures have been shown in our own work and that of other investigators to </w:t>
      </w:r>
      <w:r w:rsidR="00934C18" w:rsidRPr="00B84387">
        <w:rPr>
          <w:rFonts w:ascii="Times New Roman" w:hAnsi="Times New Roman" w:cs="Times New Roman"/>
          <w:sz w:val="24"/>
          <w:szCs w:val="24"/>
        </w:rPr>
        <w:t xml:space="preserve">be sensitive to a range of social and environmental exposures, to </w:t>
      </w:r>
      <w:r w:rsidRPr="00B84387">
        <w:rPr>
          <w:rFonts w:ascii="Times New Roman" w:hAnsi="Times New Roman" w:cs="Times New Roman"/>
          <w:sz w:val="24"/>
          <w:szCs w:val="24"/>
        </w:rPr>
        <w:t>predict morbidity and mortality in diverse populations, and have received substantial attention in the research literature</w:t>
      </w:r>
      <w:r w:rsidR="00626EF6" w:rsidRPr="00B84387">
        <w:rPr>
          <w:rFonts w:ascii="Times New Roman" w:hAnsi="Times New Roman" w:cs="Times New Roman"/>
          <w:sz w:val="24"/>
          <w:szCs w:val="24"/>
        </w:rPr>
        <w:t xml:space="preserve"> </w:t>
      </w:r>
      <w:r w:rsidR="00E03237" w:rsidRPr="00B84387">
        <w:rPr>
          <w:rFonts w:ascii="Times New Roman" w:hAnsi="Times New Roman" w:cs="Times New Roman"/>
          <w:kern w:val="0"/>
          <w:sz w:val="24"/>
          <w:szCs w:val="24"/>
        </w:rPr>
        <w:t>(38,44,45,47–52)</w:t>
      </w:r>
      <w:r w:rsidRPr="00B84387">
        <w:rPr>
          <w:rFonts w:ascii="Times New Roman" w:hAnsi="Times New Roman" w:cs="Times New Roman"/>
          <w:sz w:val="24"/>
          <w:szCs w:val="24"/>
        </w:rPr>
        <w:t xml:space="preserve">. Importantly, comparative studies show clinical-lab-based measures of biological age to be equal or stronger predictors of aging-related health deficits and mortality as compared with alternative approaches, such as DNA methylation clocks </w:t>
      </w:r>
      <w:r w:rsidR="00E03237" w:rsidRPr="00B84387">
        <w:rPr>
          <w:rFonts w:ascii="Times New Roman" w:hAnsi="Times New Roman" w:cs="Times New Roman"/>
          <w:sz w:val="24"/>
          <w:szCs w:val="24"/>
        </w:rPr>
        <w:t>(47)</w:t>
      </w:r>
      <w:r w:rsidRPr="00B84387">
        <w:rPr>
          <w:rFonts w:ascii="Times New Roman" w:hAnsi="Times New Roman" w:cs="Times New Roman"/>
          <w:sz w:val="24"/>
          <w:szCs w:val="24"/>
        </w:rPr>
        <w:t xml:space="preserve">. </w:t>
      </w:r>
    </w:p>
    <w:p w14:paraId="3BB5F1CE" w14:textId="4DCCD13C" w:rsidR="00DD14EE" w:rsidRPr="00B84387" w:rsidRDefault="00984D14" w:rsidP="00E00B26">
      <w:pPr>
        <w:ind w:firstLine="720"/>
        <w:rPr>
          <w:rFonts w:ascii="Times New Roman" w:hAnsi="Times New Roman" w:cs="Times New Roman"/>
          <w:sz w:val="24"/>
          <w:szCs w:val="24"/>
        </w:rPr>
      </w:pPr>
      <w:r w:rsidRPr="00B84387">
        <w:rPr>
          <w:rFonts w:ascii="Times New Roman" w:hAnsi="Times New Roman" w:cs="Times New Roman"/>
          <w:sz w:val="24"/>
          <w:szCs w:val="24"/>
        </w:rPr>
        <w:t>The primary measure of biological aging used in this analysis was</w:t>
      </w:r>
      <w:r w:rsidR="00F36726" w:rsidRPr="00B84387">
        <w:rPr>
          <w:rFonts w:ascii="Times New Roman" w:hAnsi="Times New Roman" w:cs="Times New Roman"/>
          <w:sz w:val="24"/>
          <w:szCs w:val="24"/>
        </w:rPr>
        <w:t xml:space="preserve"> biological-age advancement, as measured using</w:t>
      </w:r>
      <w:r w:rsidRPr="00B84387">
        <w:rPr>
          <w:rFonts w:ascii="Times New Roman" w:hAnsi="Times New Roman" w:cs="Times New Roman"/>
          <w:sz w:val="24"/>
          <w:szCs w:val="24"/>
        </w:rPr>
        <w:t xml:space="preserve"> the blood-chemistry PhenoAge algorithm</w:t>
      </w:r>
      <w:r w:rsidR="00172732" w:rsidRPr="00B84387">
        <w:rPr>
          <w:rFonts w:ascii="Times New Roman" w:hAnsi="Times New Roman" w:cs="Times New Roman"/>
          <w:sz w:val="24"/>
          <w:szCs w:val="24"/>
        </w:rPr>
        <w:t xml:space="preserve"> </w:t>
      </w:r>
      <w:r w:rsidR="00E03237" w:rsidRPr="00B84387">
        <w:rPr>
          <w:rFonts w:ascii="Times New Roman" w:hAnsi="Times New Roman" w:cs="Times New Roman"/>
          <w:sz w:val="24"/>
          <w:szCs w:val="24"/>
        </w:rPr>
        <w:t>(48)</w:t>
      </w:r>
      <w:r w:rsidRPr="00B84387">
        <w:rPr>
          <w:rFonts w:ascii="Times New Roman" w:hAnsi="Times New Roman" w:cs="Times New Roman"/>
          <w:sz w:val="24"/>
          <w:szCs w:val="24"/>
        </w:rPr>
        <w:t xml:space="preserve">. </w:t>
      </w:r>
      <w:r w:rsidR="002A2260" w:rsidRPr="00B84387">
        <w:rPr>
          <w:rFonts w:ascii="Times New Roman" w:hAnsi="Times New Roman" w:cs="Times New Roman"/>
          <w:sz w:val="24"/>
          <w:szCs w:val="24"/>
        </w:rPr>
        <w:t xml:space="preserve">Following </w:t>
      </w:r>
      <w:r w:rsidRPr="00B84387">
        <w:rPr>
          <w:rFonts w:ascii="Times New Roman" w:hAnsi="Times New Roman" w:cs="Times New Roman"/>
          <w:sz w:val="24"/>
          <w:szCs w:val="24"/>
        </w:rPr>
        <w:t xml:space="preserve">this </w:t>
      </w:r>
      <w:r w:rsidR="002A2260" w:rsidRPr="00B84387">
        <w:rPr>
          <w:rFonts w:ascii="Times New Roman" w:hAnsi="Times New Roman" w:cs="Times New Roman"/>
          <w:sz w:val="24"/>
          <w:szCs w:val="24"/>
        </w:rPr>
        <w:t>method</w:t>
      </w:r>
      <w:r w:rsidRPr="00B84387">
        <w:rPr>
          <w:rFonts w:ascii="Times New Roman" w:hAnsi="Times New Roman" w:cs="Times New Roman"/>
          <w:sz w:val="24"/>
          <w:szCs w:val="24"/>
        </w:rPr>
        <w:t xml:space="preserve">, </w:t>
      </w:r>
      <w:r w:rsidR="00B45D99" w:rsidRPr="00B84387">
        <w:rPr>
          <w:rFonts w:ascii="Times New Roman" w:hAnsi="Times New Roman" w:cs="Times New Roman"/>
          <w:sz w:val="24"/>
          <w:szCs w:val="24"/>
        </w:rPr>
        <w:t>predicted biological age value</w:t>
      </w:r>
      <w:r w:rsidR="00D53C57" w:rsidRPr="00B84387">
        <w:rPr>
          <w:rFonts w:ascii="Times New Roman" w:hAnsi="Times New Roman" w:cs="Times New Roman"/>
          <w:sz w:val="24"/>
          <w:szCs w:val="24"/>
        </w:rPr>
        <w:t>s</w:t>
      </w:r>
      <w:r w:rsidR="00B45D99" w:rsidRPr="00B84387">
        <w:rPr>
          <w:rFonts w:ascii="Times New Roman" w:hAnsi="Times New Roman" w:cs="Times New Roman"/>
          <w:sz w:val="24"/>
          <w:szCs w:val="24"/>
        </w:rPr>
        <w:t xml:space="preserve"> represent the age at which a participant’s physiology-predicted mortality risk would be approximately normal in the reference sample in whom the data were originally trained.</w:t>
      </w:r>
      <w:r w:rsidRPr="00B84387">
        <w:rPr>
          <w:rFonts w:ascii="Times New Roman" w:hAnsi="Times New Roman" w:cs="Times New Roman"/>
          <w:sz w:val="24"/>
          <w:szCs w:val="24"/>
        </w:rPr>
        <w:t xml:space="preserve"> </w:t>
      </w:r>
      <w:r w:rsidR="00D53C57" w:rsidRPr="00B84387">
        <w:rPr>
          <w:rFonts w:ascii="Times New Roman" w:hAnsi="Times New Roman" w:cs="Times New Roman"/>
          <w:sz w:val="24"/>
          <w:szCs w:val="24"/>
        </w:rPr>
        <w:t>We followed the method originally proposed by Levine and colleagues to train the PhenoAge algorithm</w:t>
      </w:r>
      <w:r w:rsidR="0059130D" w:rsidRPr="00B84387">
        <w:rPr>
          <w:rFonts w:ascii="Times New Roman" w:hAnsi="Times New Roman" w:cs="Times New Roman"/>
          <w:sz w:val="24"/>
          <w:szCs w:val="24"/>
        </w:rPr>
        <w:t xml:space="preserve"> in our sample</w:t>
      </w:r>
      <w:r w:rsidR="00D53C57" w:rsidRPr="00B84387">
        <w:rPr>
          <w:rFonts w:ascii="Times New Roman" w:hAnsi="Times New Roman" w:cs="Times New Roman"/>
          <w:sz w:val="24"/>
          <w:szCs w:val="24"/>
        </w:rPr>
        <w:t xml:space="preserve"> </w:t>
      </w:r>
      <w:r w:rsidR="00E03237" w:rsidRPr="00B84387">
        <w:rPr>
          <w:rFonts w:ascii="Times New Roman" w:hAnsi="Times New Roman" w:cs="Times New Roman"/>
          <w:sz w:val="24"/>
          <w:szCs w:val="24"/>
        </w:rPr>
        <w:t>(48)</w:t>
      </w:r>
      <w:r w:rsidR="00D53C57" w:rsidRPr="00B84387">
        <w:rPr>
          <w:rFonts w:ascii="Times New Roman" w:hAnsi="Times New Roman" w:cs="Times New Roman"/>
          <w:sz w:val="24"/>
          <w:szCs w:val="24"/>
        </w:rPr>
        <w:t xml:space="preserve">. </w:t>
      </w:r>
      <w:r w:rsidR="0059130D" w:rsidRPr="00B84387">
        <w:rPr>
          <w:rFonts w:ascii="Times New Roman" w:hAnsi="Times New Roman" w:cs="Times New Roman"/>
          <w:sz w:val="24"/>
          <w:szCs w:val="24"/>
        </w:rPr>
        <w:t>We first</w:t>
      </w:r>
      <w:r w:rsidR="00D53C57" w:rsidRPr="00B84387">
        <w:rPr>
          <w:rFonts w:ascii="Times New Roman" w:hAnsi="Times New Roman" w:cs="Times New Roman"/>
          <w:sz w:val="24"/>
          <w:szCs w:val="24"/>
        </w:rPr>
        <w:t xml:space="preserve"> </w:t>
      </w:r>
      <w:r w:rsidRPr="00B84387">
        <w:rPr>
          <w:rFonts w:ascii="Times New Roman" w:hAnsi="Times New Roman" w:cs="Times New Roman"/>
          <w:sz w:val="24"/>
          <w:szCs w:val="24"/>
        </w:rPr>
        <w:t xml:space="preserve">defined the universe of available biomarkers collected in all waves of NHANES III and continuous NHANES. </w:t>
      </w:r>
      <w:r w:rsidR="00AD506D" w:rsidRPr="00B84387">
        <w:rPr>
          <w:rFonts w:ascii="Times New Roman" w:hAnsi="Times New Roman" w:cs="Times New Roman"/>
          <w:sz w:val="24"/>
          <w:szCs w:val="24"/>
        </w:rPr>
        <w:t xml:space="preserve">We assessed potential batch effects in biomarker values across measurement waves and corrected for these effects for three biomarkers: alkaline phosphatase, albumin, and red cell distribution width. </w:t>
      </w:r>
      <w:bookmarkStart w:id="2" w:name="_Hlk156650468"/>
      <w:r w:rsidR="00AD506D" w:rsidRPr="00B84387">
        <w:rPr>
          <w:rFonts w:ascii="Times New Roman" w:hAnsi="Times New Roman" w:cs="Times New Roman"/>
          <w:sz w:val="24"/>
          <w:szCs w:val="24"/>
        </w:rPr>
        <w:t>Second,</w:t>
      </w:r>
      <w:r w:rsidR="005304B0" w:rsidRPr="00B84387">
        <w:rPr>
          <w:rFonts w:ascii="Times New Roman" w:hAnsi="Times New Roman" w:cs="Times New Roman"/>
          <w:sz w:val="24"/>
          <w:szCs w:val="24"/>
        </w:rPr>
        <w:t xml:space="preserve"> </w:t>
      </w:r>
      <w:r w:rsidR="00AD506D" w:rsidRPr="00B84387">
        <w:rPr>
          <w:rFonts w:ascii="Times New Roman" w:hAnsi="Times New Roman" w:cs="Times New Roman"/>
          <w:sz w:val="24"/>
          <w:szCs w:val="24"/>
        </w:rPr>
        <w:t xml:space="preserve">we </w:t>
      </w:r>
      <w:r w:rsidR="005304B0" w:rsidRPr="00B84387">
        <w:rPr>
          <w:rFonts w:ascii="Times New Roman" w:hAnsi="Times New Roman" w:cs="Times New Roman"/>
          <w:sz w:val="24"/>
          <w:szCs w:val="24"/>
        </w:rPr>
        <w:t xml:space="preserve">selected a subset of these biomarkers </w:t>
      </w:r>
      <w:r w:rsidR="00B021AC" w:rsidRPr="00B84387">
        <w:rPr>
          <w:rFonts w:ascii="Times New Roman" w:hAnsi="Times New Roman" w:cs="Times New Roman"/>
          <w:sz w:val="24"/>
          <w:szCs w:val="24"/>
        </w:rPr>
        <w:t xml:space="preserve">as predictors for </w:t>
      </w:r>
      <w:r w:rsidR="005304B0" w:rsidRPr="00B84387">
        <w:rPr>
          <w:rFonts w:ascii="Times New Roman" w:hAnsi="Times New Roman" w:cs="Times New Roman"/>
          <w:sz w:val="24"/>
          <w:szCs w:val="24"/>
        </w:rPr>
        <w:t xml:space="preserve">the PhenoAge algorithm by </w:t>
      </w:r>
      <w:r w:rsidR="00A07AFE" w:rsidRPr="00B84387">
        <w:rPr>
          <w:rFonts w:ascii="Times New Roman" w:hAnsi="Times New Roman" w:cs="Times New Roman"/>
          <w:sz w:val="24"/>
          <w:szCs w:val="24"/>
        </w:rPr>
        <w:t>running an</w:t>
      </w:r>
      <w:r w:rsidR="005304B0" w:rsidRPr="00B84387">
        <w:rPr>
          <w:rFonts w:ascii="Times New Roman" w:hAnsi="Times New Roman" w:cs="Times New Roman"/>
          <w:sz w:val="24"/>
          <w:szCs w:val="24"/>
        </w:rPr>
        <w:t xml:space="preserve"> elastic net regression </w:t>
      </w:r>
      <w:r w:rsidR="00A07AFE" w:rsidRPr="00B84387">
        <w:rPr>
          <w:rFonts w:ascii="Times New Roman" w:hAnsi="Times New Roman" w:cs="Times New Roman"/>
          <w:sz w:val="24"/>
          <w:szCs w:val="24"/>
        </w:rPr>
        <w:t>model to identify parameters most strongly associated with mortality risk</w:t>
      </w:r>
      <w:r w:rsidR="005304B0" w:rsidRPr="00B84387">
        <w:rPr>
          <w:rFonts w:ascii="Times New Roman" w:hAnsi="Times New Roman" w:cs="Times New Roman"/>
          <w:sz w:val="24"/>
          <w:szCs w:val="24"/>
        </w:rPr>
        <w:t>.</w:t>
      </w:r>
      <w:r w:rsidR="00DD14EE" w:rsidRPr="00B84387">
        <w:rPr>
          <w:rFonts w:ascii="Times New Roman" w:hAnsi="Times New Roman" w:cs="Times New Roman"/>
          <w:sz w:val="24"/>
          <w:szCs w:val="24"/>
        </w:rPr>
        <w:t xml:space="preserve"> </w:t>
      </w:r>
      <w:bookmarkEnd w:id="2"/>
      <w:r w:rsidRPr="00B84387">
        <w:rPr>
          <w:rFonts w:ascii="Times New Roman" w:hAnsi="Times New Roman" w:cs="Times New Roman"/>
          <w:sz w:val="24"/>
          <w:szCs w:val="24"/>
        </w:rPr>
        <w:t xml:space="preserve">The 12 biomarkers selected using elastic net regression were: albumin, alkaline phosphatase, creatinine, glucose, uric acid, HbA1c, lymphocyte %, mean cell volume, red cell distribution width, white blood cell count, systolic BP, </w:t>
      </w:r>
      <w:r w:rsidR="00FF7AC8" w:rsidRPr="00B84387">
        <w:rPr>
          <w:rFonts w:ascii="Times New Roman" w:hAnsi="Times New Roman" w:cs="Times New Roman"/>
          <w:sz w:val="24"/>
          <w:szCs w:val="24"/>
        </w:rPr>
        <w:t xml:space="preserve">and </w:t>
      </w:r>
      <w:r w:rsidRPr="00B84387">
        <w:rPr>
          <w:rFonts w:ascii="Times New Roman" w:hAnsi="Times New Roman" w:cs="Times New Roman"/>
          <w:sz w:val="24"/>
          <w:szCs w:val="24"/>
        </w:rPr>
        <w:t xml:space="preserve">pulse. </w:t>
      </w:r>
      <w:bookmarkStart w:id="3" w:name="_Hlk146632576"/>
      <w:r w:rsidRPr="00B84387">
        <w:rPr>
          <w:rFonts w:ascii="Times New Roman" w:hAnsi="Times New Roman" w:cs="Times New Roman"/>
          <w:sz w:val="24"/>
          <w:szCs w:val="24"/>
        </w:rPr>
        <w:t xml:space="preserve">PhenoAge values were then projected into the analytic sample of continuous NHANES participants using the </w:t>
      </w:r>
      <w:r w:rsidRPr="00B84387">
        <w:rPr>
          <w:rFonts w:ascii="Times New Roman" w:hAnsi="Times New Roman" w:cs="Times New Roman"/>
          <w:i/>
          <w:iCs/>
          <w:sz w:val="24"/>
          <w:szCs w:val="24"/>
        </w:rPr>
        <w:t>BioAge</w:t>
      </w:r>
      <w:r w:rsidRPr="00B84387">
        <w:rPr>
          <w:rFonts w:ascii="Times New Roman" w:hAnsi="Times New Roman" w:cs="Times New Roman"/>
          <w:sz w:val="24"/>
          <w:szCs w:val="24"/>
        </w:rPr>
        <w:t xml:space="preserve"> package</w:t>
      </w:r>
      <w:r w:rsidR="00C4720E" w:rsidRPr="00B84387">
        <w:rPr>
          <w:rFonts w:ascii="Times New Roman" w:hAnsi="Times New Roman" w:cs="Times New Roman"/>
          <w:sz w:val="24"/>
          <w:szCs w:val="24"/>
        </w:rPr>
        <w:t xml:space="preserve"> </w:t>
      </w:r>
      <w:r w:rsidR="00E03237" w:rsidRPr="00B84387">
        <w:rPr>
          <w:rFonts w:ascii="Times New Roman" w:hAnsi="Times New Roman" w:cs="Times New Roman"/>
          <w:sz w:val="24"/>
          <w:szCs w:val="24"/>
        </w:rPr>
        <w:t>(27)</w:t>
      </w:r>
      <w:r w:rsidR="00B31268" w:rsidRPr="00B84387">
        <w:rPr>
          <w:rFonts w:ascii="Times New Roman" w:hAnsi="Times New Roman" w:cs="Times New Roman"/>
          <w:sz w:val="24"/>
          <w:szCs w:val="24"/>
        </w:rPr>
        <w:t xml:space="preserve"> in </w:t>
      </w:r>
      <w:r w:rsidR="0033320B" w:rsidRPr="00B84387">
        <w:rPr>
          <w:rFonts w:ascii="Times New Roman" w:hAnsi="Times New Roman" w:cs="Times New Roman"/>
          <w:sz w:val="24"/>
          <w:szCs w:val="24"/>
        </w:rPr>
        <w:t>the RS</w:t>
      </w:r>
      <w:r w:rsidR="00B31268" w:rsidRPr="00B84387">
        <w:rPr>
          <w:rFonts w:ascii="Times New Roman" w:hAnsi="Times New Roman" w:cs="Times New Roman"/>
          <w:sz w:val="24"/>
          <w:szCs w:val="24"/>
        </w:rPr>
        <w:t xml:space="preserve">tudio </w:t>
      </w:r>
      <w:r w:rsidR="0033320B" w:rsidRPr="00B84387">
        <w:rPr>
          <w:rFonts w:ascii="Times New Roman" w:hAnsi="Times New Roman" w:cs="Times New Roman"/>
          <w:sz w:val="24"/>
          <w:szCs w:val="24"/>
        </w:rPr>
        <w:t xml:space="preserve">Integrated Development Environment (IDE) </w:t>
      </w:r>
      <w:r w:rsidR="004F0D7F" w:rsidRPr="00B84387">
        <w:rPr>
          <w:rFonts w:ascii="Times New Roman" w:hAnsi="Times New Roman" w:cs="Times New Roman"/>
          <w:sz w:val="24"/>
          <w:szCs w:val="24"/>
        </w:rPr>
        <w:t>v2023.06.0.421</w:t>
      </w:r>
      <w:r w:rsidR="0033320B" w:rsidRPr="00B84387">
        <w:rPr>
          <w:rFonts w:ascii="Times New Roman" w:hAnsi="Times New Roman" w:cs="Times New Roman"/>
          <w:sz w:val="24"/>
          <w:szCs w:val="24"/>
        </w:rPr>
        <w:t xml:space="preserve"> </w:t>
      </w:r>
      <w:r w:rsidR="00802A56" w:rsidRPr="00B84387">
        <w:rPr>
          <w:rFonts w:ascii="Times New Roman" w:hAnsi="Times New Roman" w:cs="Times New Roman"/>
          <w:sz w:val="24"/>
          <w:szCs w:val="24"/>
        </w:rPr>
        <w:t>(68)</w:t>
      </w:r>
      <w:r w:rsidRPr="00B84387">
        <w:rPr>
          <w:rFonts w:ascii="Times New Roman" w:hAnsi="Times New Roman" w:cs="Times New Roman"/>
          <w:sz w:val="24"/>
          <w:szCs w:val="24"/>
        </w:rPr>
        <w:t>.</w:t>
      </w:r>
      <w:r w:rsidR="00B36689" w:rsidRPr="00B84387">
        <w:rPr>
          <w:rFonts w:ascii="Times New Roman" w:hAnsi="Times New Roman" w:cs="Times New Roman"/>
          <w:sz w:val="24"/>
          <w:szCs w:val="24"/>
        </w:rPr>
        <w:t xml:space="preserve"> B</w:t>
      </w:r>
      <w:r w:rsidR="00F36726" w:rsidRPr="00B84387">
        <w:rPr>
          <w:rFonts w:ascii="Times New Roman" w:hAnsi="Times New Roman" w:cs="Times New Roman"/>
          <w:sz w:val="24"/>
          <w:szCs w:val="24"/>
        </w:rPr>
        <w:t>iological-age advancement was define</w:t>
      </w:r>
      <w:r w:rsidR="009B5C53" w:rsidRPr="00B84387">
        <w:rPr>
          <w:rFonts w:ascii="Times New Roman" w:hAnsi="Times New Roman" w:cs="Times New Roman"/>
          <w:sz w:val="24"/>
          <w:szCs w:val="24"/>
        </w:rPr>
        <w:t>d</w:t>
      </w:r>
      <w:r w:rsidR="00F36726" w:rsidRPr="00B84387">
        <w:rPr>
          <w:rFonts w:ascii="Times New Roman" w:hAnsi="Times New Roman" w:cs="Times New Roman"/>
          <w:sz w:val="24"/>
          <w:szCs w:val="24"/>
        </w:rPr>
        <w:t xml:space="preserve"> as the difference between PhenoAge and chronological age</w:t>
      </w:r>
      <w:r w:rsidR="00F64F38" w:rsidRPr="00B84387">
        <w:rPr>
          <w:rFonts w:ascii="Times New Roman" w:hAnsi="Times New Roman" w:cs="Times New Roman"/>
          <w:sz w:val="24"/>
          <w:szCs w:val="24"/>
        </w:rPr>
        <w:t xml:space="preserve"> (e.g., an individual with a PhenoAge of 65 and a chronological age of 60 would have a biological-age advancement</w:t>
      </w:r>
      <w:r w:rsidR="002A0861" w:rsidRPr="00B84387">
        <w:rPr>
          <w:rFonts w:ascii="Times New Roman" w:hAnsi="Times New Roman" w:cs="Times New Roman"/>
          <w:sz w:val="24"/>
          <w:szCs w:val="24"/>
        </w:rPr>
        <w:t>, or accelerated aging,</w:t>
      </w:r>
      <w:r w:rsidR="00F64F38" w:rsidRPr="00B84387">
        <w:rPr>
          <w:rFonts w:ascii="Times New Roman" w:hAnsi="Times New Roman" w:cs="Times New Roman"/>
          <w:sz w:val="24"/>
          <w:szCs w:val="24"/>
        </w:rPr>
        <w:t xml:space="preserve"> of 5 years)</w:t>
      </w:r>
      <w:r w:rsidR="00F36726" w:rsidRPr="00B84387">
        <w:rPr>
          <w:rFonts w:ascii="Times New Roman" w:hAnsi="Times New Roman" w:cs="Times New Roman"/>
          <w:sz w:val="24"/>
          <w:szCs w:val="24"/>
        </w:rPr>
        <w:t>.</w:t>
      </w:r>
      <w:r w:rsidR="00F64F38" w:rsidRPr="00B84387">
        <w:rPr>
          <w:rFonts w:ascii="Times New Roman" w:hAnsi="Times New Roman" w:cs="Times New Roman"/>
          <w:sz w:val="24"/>
          <w:szCs w:val="24"/>
        </w:rPr>
        <w:t xml:space="preserve"> </w:t>
      </w:r>
      <w:bookmarkEnd w:id="3"/>
      <w:r w:rsidR="000D2095" w:rsidRPr="00B84387">
        <w:rPr>
          <w:rFonts w:ascii="Times New Roman" w:hAnsi="Times New Roman" w:cs="Times New Roman"/>
          <w:sz w:val="24"/>
          <w:szCs w:val="24"/>
        </w:rPr>
        <w:t>Details regarding the development of biological aging</w:t>
      </w:r>
      <w:r w:rsidR="00DD14EE" w:rsidRPr="00B84387">
        <w:rPr>
          <w:rFonts w:ascii="Times New Roman" w:hAnsi="Times New Roman" w:cs="Times New Roman"/>
          <w:sz w:val="24"/>
          <w:szCs w:val="24"/>
        </w:rPr>
        <w:t xml:space="preserve"> </w:t>
      </w:r>
      <w:r w:rsidR="000D2095" w:rsidRPr="00B84387">
        <w:rPr>
          <w:rFonts w:ascii="Times New Roman" w:hAnsi="Times New Roman" w:cs="Times New Roman"/>
          <w:sz w:val="24"/>
          <w:szCs w:val="24"/>
        </w:rPr>
        <w:t xml:space="preserve">measures for this analysis are available in the </w:t>
      </w:r>
      <w:r w:rsidR="000D2095" w:rsidRPr="00B84387">
        <w:rPr>
          <w:rFonts w:ascii="Times New Roman" w:hAnsi="Times New Roman" w:cs="Times New Roman"/>
          <w:b/>
          <w:bCs/>
          <w:sz w:val="24"/>
          <w:szCs w:val="24"/>
        </w:rPr>
        <w:t>Methods Supplement</w:t>
      </w:r>
      <w:r w:rsidR="00DD14EE" w:rsidRPr="00B84387">
        <w:rPr>
          <w:rFonts w:ascii="Times New Roman" w:hAnsi="Times New Roman" w:cs="Times New Roman"/>
          <w:sz w:val="24"/>
          <w:szCs w:val="24"/>
        </w:rPr>
        <w:t>.</w:t>
      </w:r>
    </w:p>
    <w:p w14:paraId="7B8697DD" w14:textId="70F70C3F" w:rsidR="00D03071" w:rsidRPr="00B84387" w:rsidRDefault="00984D14" w:rsidP="00984D14">
      <w:pPr>
        <w:rPr>
          <w:rFonts w:ascii="Times New Roman" w:hAnsi="Times New Roman" w:cs="Times New Roman"/>
          <w:sz w:val="24"/>
          <w:szCs w:val="24"/>
        </w:rPr>
      </w:pPr>
      <w:r w:rsidRPr="00B84387">
        <w:rPr>
          <w:rFonts w:ascii="Times New Roman" w:hAnsi="Times New Roman" w:cs="Times New Roman"/>
          <w:b/>
          <w:bCs/>
          <w:sz w:val="24"/>
          <w:szCs w:val="24"/>
        </w:rPr>
        <w:t xml:space="preserve">Age-Period-Cohort </w:t>
      </w:r>
      <w:r w:rsidR="00F55806" w:rsidRPr="00B84387">
        <w:rPr>
          <w:rFonts w:ascii="Times New Roman" w:hAnsi="Times New Roman" w:cs="Times New Roman"/>
          <w:b/>
          <w:bCs/>
          <w:sz w:val="24"/>
          <w:szCs w:val="24"/>
        </w:rPr>
        <w:t>(APC) a</w:t>
      </w:r>
      <w:r w:rsidRPr="00B84387">
        <w:rPr>
          <w:rFonts w:ascii="Times New Roman" w:hAnsi="Times New Roman" w:cs="Times New Roman"/>
          <w:b/>
          <w:bCs/>
          <w:sz w:val="24"/>
          <w:szCs w:val="24"/>
        </w:rPr>
        <w:t>nalysis.</w:t>
      </w:r>
      <w:r w:rsidRPr="00B84387">
        <w:rPr>
          <w:rFonts w:ascii="Times New Roman" w:hAnsi="Times New Roman" w:cs="Times New Roman"/>
          <w:sz w:val="24"/>
          <w:szCs w:val="24"/>
        </w:rPr>
        <w:t xml:space="preserve"> </w:t>
      </w:r>
      <w:r w:rsidR="00D6302A" w:rsidRPr="00B84387">
        <w:rPr>
          <w:rFonts w:ascii="Times New Roman" w:hAnsi="Times New Roman" w:cs="Times New Roman"/>
          <w:sz w:val="24"/>
          <w:szCs w:val="24"/>
        </w:rPr>
        <w:t xml:space="preserve">Changes in population health indicators over time may reflect one or more distinct phenomena, formally described by the age-period-cohort (APC) framework in life course epidemiology </w:t>
      </w:r>
      <w:r w:rsidR="00802A56" w:rsidRPr="00B84387">
        <w:rPr>
          <w:rFonts w:ascii="Times New Roman" w:hAnsi="Times New Roman" w:cs="Times New Roman"/>
          <w:sz w:val="24"/>
          <w:szCs w:val="24"/>
        </w:rPr>
        <w:t>(69)</w:t>
      </w:r>
      <w:r w:rsidR="00D6302A" w:rsidRPr="00B84387">
        <w:rPr>
          <w:rFonts w:ascii="Times New Roman" w:hAnsi="Times New Roman" w:cs="Times New Roman"/>
          <w:sz w:val="24"/>
          <w:szCs w:val="24"/>
        </w:rPr>
        <w:t xml:space="preserve">. </w:t>
      </w:r>
      <w:r w:rsidR="00D6302A" w:rsidRPr="00B84387">
        <w:rPr>
          <w:rFonts w:ascii="Times New Roman" w:hAnsi="Times New Roman" w:cs="Times New Roman"/>
          <w:i/>
          <w:iCs/>
          <w:sz w:val="24"/>
          <w:szCs w:val="24"/>
        </w:rPr>
        <w:t>Age</w:t>
      </w:r>
      <w:r w:rsidR="00D6302A" w:rsidRPr="00B84387">
        <w:rPr>
          <w:rFonts w:ascii="Times New Roman" w:hAnsi="Times New Roman" w:cs="Times New Roman"/>
          <w:sz w:val="24"/>
          <w:szCs w:val="24"/>
        </w:rPr>
        <w:t xml:space="preserve"> effects reflect changes in disease prevalence attributable to changes in the age structure of the population. If certain health outcomes are </w:t>
      </w:r>
      <w:r w:rsidR="00D6302A" w:rsidRPr="00B84387">
        <w:rPr>
          <w:rFonts w:ascii="Times New Roman" w:hAnsi="Times New Roman" w:cs="Times New Roman"/>
          <w:sz w:val="24"/>
          <w:szCs w:val="24"/>
        </w:rPr>
        <w:lastRenderedPageBreak/>
        <w:t xml:space="preserve">concentrated towards the end of life (or at any other developmental stage), then the prevalence of these outcomes will increase as the proportion of aged persons in a population increases. </w:t>
      </w:r>
      <w:r w:rsidR="00D6302A" w:rsidRPr="00B84387">
        <w:rPr>
          <w:rFonts w:ascii="Times New Roman" w:hAnsi="Times New Roman" w:cs="Times New Roman"/>
          <w:i/>
          <w:iCs/>
          <w:sz w:val="24"/>
          <w:szCs w:val="24"/>
        </w:rPr>
        <w:t>Period</w:t>
      </w:r>
      <w:r w:rsidR="00D6302A" w:rsidRPr="00B84387">
        <w:rPr>
          <w:rFonts w:ascii="Times New Roman" w:hAnsi="Times New Roman" w:cs="Times New Roman"/>
          <w:sz w:val="24"/>
          <w:szCs w:val="24"/>
        </w:rPr>
        <w:t xml:space="preserve"> effects describe changes in disease prevalence attributable to exposures that affect different age bands relatively uniformly. Finally, </w:t>
      </w:r>
      <w:r w:rsidR="00D6302A" w:rsidRPr="00B84387">
        <w:rPr>
          <w:rFonts w:ascii="Times New Roman" w:hAnsi="Times New Roman" w:cs="Times New Roman"/>
          <w:i/>
          <w:iCs/>
          <w:sz w:val="24"/>
          <w:szCs w:val="24"/>
        </w:rPr>
        <w:t>cohort</w:t>
      </w:r>
      <w:r w:rsidR="00D6302A" w:rsidRPr="00B84387">
        <w:rPr>
          <w:rFonts w:ascii="Times New Roman" w:hAnsi="Times New Roman" w:cs="Times New Roman"/>
          <w:sz w:val="24"/>
          <w:szCs w:val="24"/>
        </w:rPr>
        <w:t xml:space="preserve"> effects result when a time-bounded exposure affects one birth cohort to a greater extent than others. These mechanisms are not mutually exclusive: age, period, and cohort effects may all be operative at any given time. Identifying age, period, and cohort effects is of public health importance</w:t>
      </w:r>
      <w:r w:rsidR="00D03071" w:rsidRPr="00B84387">
        <w:rPr>
          <w:rFonts w:ascii="Times New Roman" w:hAnsi="Times New Roman" w:cs="Times New Roman"/>
          <w:sz w:val="24"/>
          <w:szCs w:val="24"/>
        </w:rPr>
        <w:t xml:space="preserve"> as t</w:t>
      </w:r>
      <w:r w:rsidR="00D6302A" w:rsidRPr="00B84387">
        <w:rPr>
          <w:rFonts w:ascii="Times New Roman" w:hAnsi="Times New Roman" w:cs="Times New Roman"/>
          <w:sz w:val="24"/>
          <w:szCs w:val="24"/>
        </w:rPr>
        <w:t>he policy i</w:t>
      </w:r>
      <w:r w:rsidR="00E564B3" w:rsidRPr="00B84387">
        <w:rPr>
          <w:rFonts w:ascii="Times New Roman" w:hAnsi="Times New Roman" w:cs="Times New Roman"/>
          <w:sz w:val="24"/>
          <w:szCs w:val="24"/>
        </w:rPr>
        <w:t>mplications of observing p</w:t>
      </w:r>
      <w:r w:rsidR="00D6302A" w:rsidRPr="00B84387">
        <w:rPr>
          <w:rFonts w:ascii="Times New Roman" w:hAnsi="Times New Roman" w:cs="Times New Roman"/>
          <w:sz w:val="24"/>
          <w:szCs w:val="24"/>
        </w:rPr>
        <w:t>eriod and cohort effects are markedly different: the former requires broad, population-level intervention, while the latter requires targeted interventions in high-risk populations.</w:t>
      </w:r>
      <w:r w:rsidR="00C211E7" w:rsidRPr="00B84387">
        <w:rPr>
          <w:rFonts w:ascii="Times New Roman" w:hAnsi="Times New Roman" w:cs="Times New Roman"/>
          <w:sz w:val="24"/>
          <w:szCs w:val="24"/>
        </w:rPr>
        <w:t xml:space="preserve"> </w:t>
      </w:r>
    </w:p>
    <w:p w14:paraId="6FA132C0" w14:textId="42FA9FD8" w:rsidR="00C02A9E" w:rsidRPr="00B84387" w:rsidRDefault="00C211E7" w:rsidP="00E00B26">
      <w:pPr>
        <w:ind w:firstLine="720"/>
        <w:rPr>
          <w:rFonts w:ascii="Times New Roman" w:hAnsi="Times New Roman" w:cs="Times New Roman"/>
          <w:sz w:val="24"/>
          <w:szCs w:val="24"/>
        </w:rPr>
      </w:pPr>
      <w:r w:rsidRPr="00B84387">
        <w:rPr>
          <w:rFonts w:ascii="Times New Roman" w:hAnsi="Times New Roman" w:cs="Times New Roman"/>
          <w:sz w:val="24"/>
          <w:szCs w:val="24"/>
        </w:rPr>
        <w:t xml:space="preserve">The classical APC identification problem arises from the perfect linear dependency of </w:t>
      </w:r>
      <w:r w:rsidR="00D03071" w:rsidRPr="00B84387">
        <w:rPr>
          <w:rFonts w:ascii="Times New Roman" w:hAnsi="Times New Roman" w:cs="Times New Roman"/>
          <w:sz w:val="24"/>
          <w:szCs w:val="24"/>
        </w:rPr>
        <w:t>age, period, and cohort</w:t>
      </w:r>
      <w:r w:rsidRPr="00B84387">
        <w:rPr>
          <w:rFonts w:ascii="Times New Roman" w:hAnsi="Times New Roman" w:cs="Times New Roman"/>
          <w:sz w:val="24"/>
          <w:szCs w:val="24"/>
        </w:rPr>
        <w:t>; several methods have been developed to circumvent this issue</w:t>
      </w:r>
      <w:r w:rsidR="004C616B" w:rsidRPr="00B84387">
        <w:rPr>
          <w:rFonts w:ascii="Times New Roman" w:hAnsi="Times New Roman" w:cs="Times New Roman"/>
          <w:sz w:val="24"/>
          <w:szCs w:val="24"/>
        </w:rPr>
        <w:t xml:space="preserve"> </w:t>
      </w:r>
      <w:r w:rsidR="00802A56" w:rsidRPr="00B84387">
        <w:rPr>
          <w:rFonts w:ascii="Times New Roman" w:hAnsi="Times New Roman" w:cs="Times New Roman"/>
          <w:kern w:val="0"/>
          <w:sz w:val="24"/>
          <w:szCs w:val="24"/>
        </w:rPr>
        <w:t>(70–72)</w:t>
      </w:r>
      <w:r w:rsidRPr="00B84387">
        <w:rPr>
          <w:rFonts w:ascii="Times New Roman" w:hAnsi="Times New Roman" w:cs="Times New Roman"/>
          <w:sz w:val="24"/>
          <w:szCs w:val="24"/>
        </w:rPr>
        <w:t>.</w:t>
      </w:r>
      <w:r w:rsidR="00D03071" w:rsidRPr="00B84387">
        <w:rPr>
          <w:rFonts w:ascii="Times New Roman" w:hAnsi="Times New Roman" w:cs="Times New Roman"/>
          <w:sz w:val="24"/>
          <w:szCs w:val="24"/>
        </w:rPr>
        <w:t xml:space="preserve"> </w:t>
      </w:r>
      <w:r w:rsidRPr="00B84387">
        <w:rPr>
          <w:rFonts w:ascii="Times New Roman" w:hAnsi="Times New Roman" w:cs="Times New Roman"/>
          <w:sz w:val="24"/>
          <w:szCs w:val="24"/>
        </w:rPr>
        <w:t>Here, w</w:t>
      </w:r>
      <w:r w:rsidR="006E5CE6" w:rsidRPr="00B84387">
        <w:rPr>
          <w:rFonts w:ascii="Times New Roman" w:hAnsi="Times New Roman" w:cs="Times New Roman"/>
          <w:sz w:val="24"/>
          <w:szCs w:val="24"/>
        </w:rPr>
        <w:t>e</w:t>
      </w:r>
      <w:r w:rsidR="00C02A9E" w:rsidRPr="00B84387">
        <w:rPr>
          <w:rFonts w:ascii="Times New Roman" w:hAnsi="Times New Roman" w:cs="Times New Roman"/>
          <w:sz w:val="24"/>
          <w:szCs w:val="24"/>
        </w:rPr>
        <w:t xml:space="preserve"> followed a general approach to APC analysis as outlined by Yang and Land</w:t>
      </w:r>
      <w:r w:rsidR="00FE33C1" w:rsidRPr="00B84387">
        <w:rPr>
          <w:rFonts w:ascii="Times New Roman" w:hAnsi="Times New Roman" w:cs="Times New Roman"/>
          <w:sz w:val="24"/>
          <w:szCs w:val="24"/>
        </w:rPr>
        <w:t xml:space="preserve"> </w:t>
      </w:r>
      <w:r w:rsidR="00802A56" w:rsidRPr="00B84387">
        <w:rPr>
          <w:rFonts w:ascii="Times New Roman" w:hAnsi="Times New Roman" w:cs="Times New Roman"/>
          <w:sz w:val="24"/>
          <w:szCs w:val="24"/>
        </w:rPr>
        <w:t>(70)</w:t>
      </w:r>
      <w:r w:rsidR="00C02A9E" w:rsidRPr="00B84387">
        <w:rPr>
          <w:rFonts w:ascii="Times New Roman" w:hAnsi="Times New Roman" w:cs="Times New Roman"/>
          <w:sz w:val="24"/>
          <w:szCs w:val="24"/>
        </w:rPr>
        <w:t>. We first identified potential age, period, and cohort effects by identifying non-linearities in two-dimensional age-</w:t>
      </w:r>
      <w:r w:rsidR="00334E58" w:rsidRPr="00B84387">
        <w:rPr>
          <w:rFonts w:ascii="Times New Roman" w:hAnsi="Times New Roman" w:cs="Times New Roman"/>
          <w:sz w:val="24"/>
          <w:szCs w:val="24"/>
        </w:rPr>
        <w:t>by-</w:t>
      </w:r>
      <w:r w:rsidR="00C02A9E" w:rsidRPr="00B84387">
        <w:rPr>
          <w:rFonts w:ascii="Times New Roman" w:hAnsi="Times New Roman" w:cs="Times New Roman"/>
          <w:sz w:val="24"/>
          <w:szCs w:val="24"/>
        </w:rPr>
        <w:t>period, age</w:t>
      </w:r>
      <w:r w:rsidR="00334E58" w:rsidRPr="00B84387">
        <w:rPr>
          <w:rFonts w:ascii="Times New Roman" w:hAnsi="Times New Roman" w:cs="Times New Roman"/>
          <w:sz w:val="24"/>
          <w:szCs w:val="24"/>
        </w:rPr>
        <w:t>-by</w:t>
      </w:r>
      <w:r w:rsidR="00C02A9E" w:rsidRPr="00B84387">
        <w:rPr>
          <w:rFonts w:ascii="Times New Roman" w:hAnsi="Times New Roman" w:cs="Times New Roman"/>
          <w:sz w:val="24"/>
          <w:szCs w:val="24"/>
        </w:rPr>
        <w:t>-cohort, and period</w:t>
      </w:r>
      <w:r w:rsidR="00334E58" w:rsidRPr="00B84387">
        <w:rPr>
          <w:rFonts w:ascii="Times New Roman" w:hAnsi="Times New Roman" w:cs="Times New Roman"/>
          <w:sz w:val="24"/>
          <w:szCs w:val="24"/>
        </w:rPr>
        <w:t>-by</w:t>
      </w:r>
      <w:r w:rsidR="00C02A9E" w:rsidRPr="00B84387">
        <w:rPr>
          <w:rFonts w:ascii="Times New Roman" w:hAnsi="Times New Roman" w:cs="Times New Roman"/>
          <w:sz w:val="24"/>
          <w:szCs w:val="24"/>
        </w:rPr>
        <w:t>-cohort graphs. We then compared goodness-of-fit statistics for a fully specified three-factor model against all possible one-factor and two-factor generalized linear models: three models testing age, period, and cohort effects separately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BAA</m:t>
                </m:r>
              </m:e>
            </m:acc>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+ϵ</m:t>
        </m:r>
      </m:oMath>
      <w:r w:rsidR="00C02A9E" w:rsidRPr="00B84387">
        <w:rPr>
          <w:rFonts w:ascii="Times New Roman" w:hAnsi="Times New Roman" w:cs="Times New Roman"/>
          <w:sz w:val="24"/>
          <w:szCs w:val="24"/>
        </w:rPr>
        <w:t xml:space="preserve">, where </w:t>
      </w:r>
      <m:oMath>
        <m:r>
          <w:rPr>
            <w:rFonts w:ascii="Cambria Math" w:hAnsi="Cambria Math" w:cs="Times New Roman"/>
            <w:sz w:val="24"/>
            <w:szCs w:val="24"/>
          </w:rPr>
          <m:t>i∈</m:t>
        </m:r>
        <m:d>
          <m:dPr>
            <m:begChr m:val="{"/>
            <m:endChr m:val="}"/>
            <m:ctrlPr>
              <w:rPr>
                <w:rFonts w:ascii="Cambria Math" w:hAnsi="Cambria Math" w:cs="Times New Roman"/>
                <w:i/>
                <w:sz w:val="24"/>
                <w:szCs w:val="24"/>
              </w:rPr>
            </m:ctrlPr>
          </m:dPr>
          <m:e>
            <m:r>
              <w:rPr>
                <w:rFonts w:ascii="Cambria Math" w:hAnsi="Cambria Math" w:cs="Times New Roman"/>
                <w:sz w:val="24"/>
                <w:szCs w:val="24"/>
              </w:rPr>
              <m:t>A,P,C</m:t>
            </m:r>
          </m:e>
        </m:d>
      </m:oMath>
      <w:r w:rsidR="00C02A9E" w:rsidRPr="00B84387">
        <w:rPr>
          <w:rFonts w:ascii="Times New Roman" w:hAnsi="Times New Roman" w:cs="Times New Roman"/>
          <w:sz w:val="24"/>
          <w:szCs w:val="24"/>
        </w:rPr>
        <w:t>), and three models testing each possible pair of the three effects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BAA</m:t>
                </m:r>
              </m:e>
            </m:acc>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+ϵ</m:t>
        </m:r>
      </m:oMath>
      <w:r w:rsidR="00C02A9E" w:rsidRPr="00B84387">
        <w:rPr>
          <w:rFonts w:ascii="Times New Roman" w:hAnsi="Times New Roman" w:cs="Times New Roman"/>
          <w:sz w:val="24"/>
          <w:szCs w:val="24"/>
        </w:rPr>
        <w:t xml:space="preserve">, where </w:t>
      </w:r>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i</m:t>
              </m:r>
            </m:e>
          </m:mr>
          <m:mr>
            <m:e>
              <m:r>
                <w:rPr>
                  <w:rFonts w:ascii="Cambria Math" w:hAnsi="Cambria Math" w:cs="Times New Roman"/>
                  <w:sz w:val="24"/>
                  <w:szCs w:val="24"/>
                </w:rPr>
                <m:t>j</m:t>
              </m:r>
            </m:e>
          </m:mr>
        </m:m>
      </m:oMath>
      <w:r w:rsidR="00C02A9E" w:rsidRPr="00B84387">
        <w:rPr>
          <w:rFonts w:ascii="Times New Roman" w:hAnsi="Times New Roman" w:cs="Times New Roman"/>
          <w:sz w:val="24"/>
          <w:szCs w:val="24"/>
        </w:rPr>
        <w:t xml:space="preserve"> </w:t>
      </w:r>
      <m:oMath>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A</m:t>
                  </m:r>
                </m:e>
                <m:e>
                  <m:r>
                    <w:rPr>
                      <w:rFonts w:ascii="Cambria Math" w:hAnsi="Cambria Math" w:cs="Times New Roman"/>
                      <w:sz w:val="24"/>
                      <w:szCs w:val="24"/>
                    </w:rPr>
                    <m:t>P</m:t>
                  </m:r>
                </m:e>
                <m:e>
                  <m:r>
                    <w:rPr>
                      <w:rFonts w:ascii="Cambria Math" w:hAnsi="Cambria Math" w:cs="Times New Roman"/>
                      <w:sz w:val="24"/>
                      <w:szCs w:val="24"/>
                    </w:rPr>
                    <m:t>C</m:t>
                  </m:r>
                </m:e>
              </m:mr>
              <m:mr>
                <m:e>
                  <m:r>
                    <w:rPr>
                      <w:rFonts w:ascii="Cambria Math" w:hAnsi="Cambria Math" w:cs="Times New Roman"/>
                      <w:sz w:val="24"/>
                      <w:szCs w:val="24"/>
                    </w:rPr>
                    <m:t>P</m:t>
                  </m:r>
                </m:e>
                <m:e>
                  <m:r>
                    <w:rPr>
                      <w:rFonts w:ascii="Cambria Math" w:hAnsi="Cambria Math" w:cs="Times New Roman"/>
                      <w:sz w:val="24"/>
                      <w:szCs w:val="24"/>
                    </w:rPr>
                    <m:t>C</m:t>
                  </m:r>
                </m:e>
                <m:e>
                  <m:r>
                    <w:rPr>
                      <w:rFonts w:ascii="Cambria Math" w:hAnsi="Cambria Math" w:cs="Times New Roman"/>
                      <w:sz w:val="24"/>
                      <w:szCs w:val="24"/>
                    </w:rPr>
                    <m:t>A</m:t>
                  </m:r>
                </m:e>
              </m:mr>
            </m:m>
          </m:e>
        </m:d>
      </m:oMath>
      <w:r w:rsidR="00C02A9E" w:rsidRPr="00B84387">
        <w:rPr>
          <w:rFonts w:ascii="Times New Roman" w:hAnsi="Times New Roman" w:cs="Times New Roman"/>
          <w:sz w:val="24"/>
          <w:szCs w:val="24"/>
        </w:rPr>
        <w:t xml:space="preserve">). </w:t>
      </w:r>
    </w:p>
    <w:p w14:paraId="39076168" w14:textId="35FA7E8E" w:rsidR="00984D14" w:rsidRPr="00B84387" w:rsidRDefault="00984D14" w:rsidP="00E00B26">
      <w:pPr>
        <w:ind w:firstLine="720"/>
        <w:rPr>
          <w:rFonts w:ascii="Times New Roman" w:hAnsi="Times New Roman" w:cs="Times New Roman"/>
          <w:sz w:val="24"/>
          <w:szCs w:val="24"/>
        </w:rPr>
      </w:pPr>
      <w:r w:rsidRPr="00B84387">
        <w:rPr>
          <w:rFonts w:ascii="Times New Roman" w:hAnsi="Times New Roman" w:cs="Times New Roman"/>
          <w:sz w:val="24"/>
          <w:szCs w:val="24"/>
        </w:rPr>
        <w:t xml:space="preserve">We used Bayesian Hierarchical Age-Period Cohort (BHAPC) models to implement three-factor decomposition of age, period, and cohort effects while accounting for survey weights. In cases where individual-level cross-sectional data are available, Yang and Land recommend the use of hierarchical models, where individual (level-1) age effects are nested within higher-level (level-2) period and cohort effects. This technique has previously been described as being compatible with Ryder’s sociological view of age, period, and cohort effects, whereby individuals’ lives as being shaped by their environments, </w:t>
      </w:r>
      <w:r w:rsidR="00260EB8" w:rsidRPr="00B84387">
        <w:rPr>
          <w:rFonts w:ascii="Times New Roman" w:hAnsi="Times New Roman" w:cs="Times New Roman"/>
          <w:sz w:val="24"/>
          <w:szCs w:val="24"/>
        </w:rPr>
        <w:t>including</w:t>
      </w:r>
      <w:r w:rsidRPr="00B84387">
        <w:rPr>
          <w:rFonts w:ascii="Times New Roman" w:hAnsi="Times New Roman" w:cs="Times New Roman"/>
          <w:sz w:val="24"/>
          <w:szCs w:val="24"/>
        </w:rPr>
        <w:t xml:space="preserve"> </w:t>
      </w:r>
      <w:r w:rsidR="00260EB8" w:rsidRPr="00B84387">
        <w:rPr>
          <w:rFonts w:ascii="Times New Roman" w:hAnsi="Times New Roman" w:cs="Times New Roman"/>
          <w:sz w:val="24"/>
          <w:szCs w:val="24"/>
        </w:rPr>
        <w:t xml:space="preserve">the constraints and influences of </w:t>
      </w:r>
      <w:r w:rsidRPr="00B84387">
        <w:rPr>
          <w:rFonts w:ascii="Times New Roman" w:hAnsi="Times New Roman" w:cs="Times New Roman"/>
          <w:sz w:val="24"/>
          <w:szCs w:val="24"/>
        </w:rPr>
        <w:t xml:space="preserve">historical time and cohort membership </w:t>
      </w:r>
      <w:r w:rsidR="00802A56" w:rsidRPr="00B84387">
        <w:rPr>
          <w:rFonts w:ascii="Times New Roman" w:hAnsi="Times New Roman" w:cs="Times New Roman"/>
          <w:sz w:val="24"/>
          <w:szCs w:val="24"/>
        </w:rPr>
        <w:t>(71,73)</w:t>
      </w:r>
      <w:r w:rsidRPr="00B84387">
        <w:rPr>
          <w:rFonts w:ascii="Times New Roman" w:hAnsi="Times New Roman" w:cs="Times New Roman"/>
          <w:sz w:val="24"/>
          <w:szCs w:val="24"/>
        </w:rPr>
        <w:t>. Because traditional multilevel models failed to converge under our sample weighting strategy (described below), we fitted Bayesian hierarchical models using weakly informative priors to achieve model convergence</w:t>
      </w:r>
      <w:r w:rsidR="00630DBF" w:rsidRPr="00B84387">
        <w:rPr>
          <w:rFonts w:ascii="Times New Roman" w:hAnsi="Times New Roman" w:cs="Times New Roman"/>
          <w:sz w:val="24"/>
          <w:szCs w:val="24"/>
        </w:rPr>
        <w:t xml:space="preserve"> </w:t>
      </w:r>
      <w:r w:rsidR="00802A56" w:rsidRPr="00B84387">
        <w:rPr>
          <w:rFonts w:ascii="Times New Roman" w:hAnsi="Times New Roman" w:cs="Times New Roman"/>
          <w:sz w:val="24"/>
          <w:szCs w:val="24"/>
        </w:rPr>
        <w:t>(74)</w:t>
      </w:r>
      <w:r w:rsidRPr="00B84387">
        <w:rPr>
          <w:rFonts w:ascii="Times New Roman" w:hAnsi="Times New Roman" w:cs="Times New Roman"/>
          <w:sz w:val="24"/>
          <w:szCs w:val="24"/>
        </w:rPr>
        <w:t xml:space="preserve">. Comparison of successfully converged traditional multilevel models with Bayesian multilevel models yielded virtually identical results. All Bayesian models were fitted using the </w:t>
      </w:r>
      <w:r w:rsidRPr="00B84387">
        <w:rPr>
          <w:rFonts w:ascii="Times New Roman" w:hAnsi="Times New Roman" w:cs="Times New Roman"/>
          <w:i/>
          <w:iCs/>
          <w:sz w:val="24"/>
          <w:szCs w:val="24"/>
        </w:rPr>
        <w:t>rstanarm</w:t>
      </w:r>
      <w:r w:rsidRPr="00B84387">
        <w:rPr>
          <w:rFonts w:ascii="Times New Roman" w:hAnsi="Times New Roman" w:cs="Times New Roman"/>
          <w:sz w:val="24"/>
          <w:szCs w:val="24"/>
        </w:rPr>
        <w:t xml:space="preserve"> package</w:t>
      </w:r>
      <w:r w:rsidR="00630DBF" w:rsidRPr="00B84387">
        <w:rPr>
          <w:rFonts w:ascii="Times New Roman" w:hAnsi="Times New Roman" w:cs="Times New Roman"/>
          <w:sz w:val="24"/>
          <w:szCs w:val="24"/>
        </w:rPr>
        <w:t xml:space="preserve"> </w:t>
      </w:r>
      <w:r w:rsidR="00802A56" w:rsidRPr="00B84387">
        <w:rPr>
          <w:rFonts w:ascii="Times New Roman" w:hAnsi="Times New Roman" w:cs="Times New Roman"/>
          <w:sz w:val="24"/>
          <w:szCs w:val="24"/>
        </w:rPr>
        <w:t>(75)</w:t>
      </w:r>
      <w:r w:rsidR="00DB0D7A" w:rsidRPr="00B84387">
        <w:rPr>
          <w:rFonts w:ascii="Times New Roman" w:hAnsi="Times New Roman" w:cs="Times New Roman"/>
          <w:sz w:val="24"/>
          <w:szCs w:val="24"/>
        </w:rPr>
        <w:t xml:space="preserve"> in </w:t>
      </w:r>
      <w:r w:rsidR="00A30FD7" w:rsidRPr="00B84387">
        <w:rPr>
          <w:rFonts w:ascii="Times New Roman" w:hAnsi="Times New Roman" w:cs="Times New Roman"/>
          <w:sz w:val="24"/>
          <w:szCs w:val="24"/>
        </w:rPr>
        <w:t xml:space="preserve">the </w:t>
      </w:r>
      <w:r w:rsidR="004F0D7F" w:rsidRPr="00B84387">
        <w:rPr>
          <w:rFonts w:ascii="Times New Roman" w:hAnsi="Times New Roman" w:cs="Times New Roman"/>
          <w:sz w:val="24"/>
          <w:szCs w:val="24"/>
        </w:rPr>
        <w:t>RStudio Integrated Development Environment (IDE) v1.3.1073</w:t>
      </w:r>
      <w:r w:rsidR="00A30FD7" w:rsidRPr="00B84387">
        <w:rPr>
          <w:rFonts w:ascii="Times New Roman" w:hAnsi="Times New Roman" w:cs="Times New Roman"/>
          <w:sz w:val="24"/>
          <w:szCs w:val="24"/>
        </w:rPr>
        <w:t xml:space="preserve"> </w:t>
      </w:r>
      <w:r w:rsidR="00802A56" w:rsidRPr="00B84387">
        <w:rPr>
          <w:rFonts w:ascii="Times New Roman" w:hAnsi="Times New Roman" w:cs="Times New Roman"/>
          <w:sz w:val="24"/>
          <w:szCs w:val="24"/>
        </w:rPr>
        <w:t>(68)</w:t>
      </w:r>
      <w:r w:rsidRPr="00B84387">
        <w:rPr>
          <w:rFonts w:ascii="Times New Roman" w:hAnsi="Times New Roman" w:cs="Times New Roman"/>
          <w:sz w:val="24"/>
          <w:szCs w:val="24"/>
        </w:rPr>
        <w:t>. We tested the level of uncertainty around our estimates using 90% credible intervals.</w:t>
      </w:r>
    </w:p>
    <w:p w14:paraId="1776BB7A" w14:textId="2B0DAD6B" w:rsidR="00074250" w:rsidRPr="00B84387" w:rsidRDefault="00074250" w:rsidP="00074250">
      <w:pPr>
        <w:rPr>
          <w:rFonts w:ascii="Times New Roman" w:hAnsi="Times New Roman" w:cs="Times New Roman"/>
          <w:sz w:val="24"/>
          <w:szCs w:val="24"/>
        </w:rPr>
      </w:pPr>
      <w:r w:rsidRPr="00B84387">
        <w:rPr>
          <w:rFonts w:ascii="Times New Roman" w:hAnsi="Times New Roman" w:cs="Times New Roman"/>
          <w:b/>
          <w:bCs/>
          <w:sz w:val="24"/>
          <w:szCs w:val="24"/>
        </w:rPr>
        <w:t xml:space="preserve">Evaluating disparities in population aging trajectories. </w:t>
      </w:r>
      <w:r w:rsidRPr="00B84387">
        <w:rPr>
          <w:rFonts w:ascii="Times New Roman" w:hAnsi="Times New Roman" w:cs="Times New Roman"/>
          <w:sz w:val="24"/>
          <w:szCs w:val="24"/>
        </w:rPr>
        <w:t>Guidelines for best practice in APC models suggest constructing separate models for different population groups, rather than including interaction terms within a larger model</w:t>
      </w:r>
      <w:r w:rsidR="0026710F" w:rsidRPr="00B84387">
        <w:rPr>
          <w:rFonts w:ascii="Times New Roman" w:hAnsi="Times New Roman" w:cs="Times New Roman"/>
          <w:sz w:val="24"/>
          <w:szCs w:val="24"/>
        </w:rPr>
        <w:t xml:space="preserve"> </w:t>
      </w:r>
      <w:r w:rsidR="00802A56" w:rsidRPr="00B84387">
        <w:rPr>
          <w:rFonts w:ascii="Times New Roman" w:hAnsi="Times New Roman" w:cs="Times New Roman"/>
          <w:sz w:val="24"/>
          <w:szCs w:val="24"/>
        </w:rPr>
        <w:t>(72)</w:t>
      </w:r>
      <w:r w:rsidRPr="00B84387">
        <w:rPr>
          <w:rFonts w:ascii="Times New Roman" w:hAnsi="Times New Roman" w:cs="Times New Roman"/>
          <w:sz w:val="24"/>
          <w:szCs w:val="24"/>
        </w:rPr>
        <w:t xml:space="preserve">. </w:t>
      </w:r>
      <w:r w:rsidR="006E5CE6" w:rsidRPr="00B84387">
        <w:rPr>
          <w:rFonts w:ascii="Times New Roman" w:hAnsi="Times New Roman" w:cs="Times New Roman"/>
          <w:sz w:val="24"/>
          <w:szCs w:val="24"/>
        </w:rPr>
        <w:t>We</w:t>
      </w:r>
      <w:r w:rsidRPr="00B84387">
        <w:rPr>
          <w:rFonts w:ascii="Times New Roman" w:hAnsi="Times New Roman" w:cs="Times New Roman"/>
          <w:sz w:val="24"/>
          <w:szCs w:val="24"/>
        </w:rPr>
        <w:t xml:space="preserve"> therefore repeat</w:t>
      </w:r>
      <w:r w:rsidR="00217F7E" w:rsidRPr="00B84387">
        <w:rPr>
          <w:rFonts w:ascii="Times New Roman" w:hAnsi="Times New Roman" w:cs="Times New Roman"/>
          <w:sz w:val="24"/>
          <w:szCs w:val="24"/>
        </w:rPr>
        <w:t>ed</w:t>
      </w:r>
      <w:r w:rsidRPr="00B84387">
        <w:rPr>
          <w:rFonts w:ascii="Times New Roman" w:hAnsi="Times New Roman" w:cs="Times New Roman"/>
          <w:sz w:val="24"/>
          <w:szCs w:val="24"/>
        </w:rPr>
        <w:t xml:space="preserve"> all analyses separately by race-sex strata to identify differences in population aging trajectories by race and sex.</w:t>
      </w:r>
    </w:p>
    <w:p w14:paraId="6B3094DE" w14:textId="2ABCB2B1" w:rsidR="00984D14" w:rsidRPr="00B84387" w:rsidRDefault="00984D14" w:rsidP="00984D14">
      <w:pPr>
        <w:rPr>
          <w:rFonts w:ascii="Times New Roman" w:hAnsi="Times New Roman" w:cs="Times New Roman"/>
          <w:sz w:val="24"/>
          <w:szCs w:val="24"/>
        </w:rPr>
      </w:pPr>
      <w:r w:rsidRPr="00B84387">
        <w:rPr>
          <w:rFonts w:ascii="Times New Roman" w:hAnsi="Times New Roman" w:cs="Times New Roman"/>
          <w:b/>
          <w:bCs/>
          <w:sz w:val="24"/>
          <w:szCs w:val="24"/>
        </w:rPr>
        <w:t>Sampling weights.</w:t>
      </w:r>
      <w:bookmarkStart w:id="4" w:name="_Hlk156653484"/>
      <w:r w:rsidRPr="00B84387">
        <w:rPr>
          <w:rFonts w:ascii="Times New Roman" w:hAnsi="Times New Roman" w:cs="Times New Roman"/>
          <w:sz w:val="24"/>
          <w:szCs w:val="24"/>
        </w:rPr>
        <w:t xml:space="preserve"> </w:t>
      </w:r>
      <w:r w:rsidR="00676DE2" w:rsidRPr="00B84387">
        <w:rPr>
          <w:rFonts w:ascii="Times New Roman" w:hAnsi="Times New Roman" w:cs="Times New Roman"/>
          <w:sz w:val="24"/>
          <w:szCs w:val="24"/>
        </w:rPr>
        <w:t>NHANES employs a multistage probability sampling design</w:t>
      </w:r>
      <w:r w:rsidR="000B3C75" w:rsidRPr="00B84387">
        <w:rPr>
          <w:rFonts w:ascii="Times New Roman" w:hAnsi="Times New Roman" w:cs="Times New Roman"/>
          <w:sz w:val="24"/>
          <w:szCs w:val="24"/>
        </w:rPr>
        <w:t xml:space="preserve"> across several domains of key demographic characteristics (e.g., age, race, sex)</w:t>
      </w:r>
      <w:r w:rsidR="00676DE2" w:rsidRPr="00B84387">
        <w:rPr>
          <w:rFonts w:ascii="Times New Roman" w:hAnsi="Times New Roman" w:cs="Times New Roman"/>
          <w:sz w:val="24"/>
          <w:szCs w:val="24"/>
        </w:rPr>
        <w:t xml:space="preserve"> to select </w:t>
      </w:r>
      <w:r w:rsidR="000B3C75" w:rsidRPr="00B84387">
        <w:rPr>
          <w:rFonts w:ascii="Times New Roman" w:hAnsi="Times New Roman" w:cs="Times New Roman"/>
          <w:sz w:val="24"/>
          <w:szCs w:val="24"/>
        </w:rPr>
        <w:t xml:space="preserve">survey </w:t>
      </w:r>
      <w:r w:rsidR="00676DE2" w:rsidRPr="00B84387">
        <w:rPr>
          <w:rFonts w:ascii="Times New Roman" w:hAnsi="Times New Roman" w:cs="Times New Roman"/>
          <w:sz w:val="24"/>
          <w:szCs w:val="24"/>
        </w:rPr>
        <w:t>participants</w:t>
      </w:r>
      <w:r w:rsidR="00146FA6" w:rsidRPr="00B84387">
        <w:rPr>
          <w:rFonts w:ascii="Times New Roman" w:hAnsi="Times New Roman" w:cs="Times New Roman"/>
          <w:sz w:val="24"/>
          <w:szCs w:val="24"/>
        </w:rPr>
        <w:t xml:space="preserve"> that can be weighted to provide population-representative estimates of the U.S. civilian non-</w:t>
      </w:r>
      <w:r w:rsidR="00146FA6" w:rsidRPr="00B84387">
        <w:rPr>
          <w:rFonts w:ascii="Times New Roman" w:hAnsi="Times New Roman" w:cs="Times New Roman"/>
          <w:sz w:val="24"/>
          <w:szCs w:val="24"/>
        </w:rPr>
        <w:lastRenderedPageBreak/>
        <w:t>institutionalized population</w:t>
      </w:r>
      <w:r w:rsidR="00676DE2" w:rsidRPr="00B84387">
        <w:rPr>
          <w:rFonts w:ascii="Times New Roman" w:hAnsi="Times New Roman" w:cs="Times New Roman"/>
          <w:sz w:val="24"/>
          <w:szCs w:val="24"/>
        </w:rPr>
        <w:t xml:space="preserve"> </w:t>
      </w:r>
      <w:r w:rsidR="00146FA6" w:rsidRPr="00B84387">
        <w:rPr>
          <w:rFonts w:ascii="Times New Roman" w:hAnsi="Times New Roman" w:cs="Times New Roman"/>
          <w:kern w:val="0"/>
          <w:sz w:val="24"/>
          <w:szCs w:val="24"/>
        </w:rPr>
        <w:t>(65–67,76,77)</w:t>
      </w:r>
      <w:r w:rsidR="00676DE2" w:rsidRPr="00B84387">
        <w:rPr>
          <w:rFonts w:ascii="Times New Roman" w:hAnsi="Times New Roman" w:cs="Times New Roman"/>
          <w:sz w:val="24"/>
          <w:szCs w:val="24"/>
        </w:rPr>
        <w:t xml:space="preserve">. There are several sampling weights provided in each wave, corresponding to different survey subsamples; separate weights are calculated for the in-home interview, the mobile examination, and for special components such as the environmental chemicals subsample. Weights are constructed based on selection probabilities and non-response rates, with post-stratification adjustment to the entire U.S. population. </w:t>
      </w:r>
      <w:r w:rsidRPr="00B84387">
        <w:rPr>
          <w:rFonts w:ascii="Times New Roman" w:hAnsi="Times New Roman" w:cs="Times New Roman"/>
          <w:sz w:val="24"/>
          <w:szCs w:val="24"/>
        </w:rPr>
        <w:t xml:space="preserve">We used Mobile Examination Center (MEC) subsample weights provided by NHANES to </w:t>
      </w:r>
      <w:r w:rsidR="00DE18B5">
        <w:rPr>
          <w:rFonts w:ascii="Times New Roman" w:hAnsi="Times New Roman" w:cs="Times New Roman"/>
          <w:sz w:val="24"/>
          <w:szCs w:val="24"/>
        </w:rPr>
        <w:t>generate</w:t>
      </w:r>
      <w:r w:rsidRPr="00B84387">
        <w:rPr>
          <w:rFonts w:ascii="Times New Roman" w:hAnsi="Times New Roman" w:cs="Times New Roman"/>
          <w:sz w:val="24"/>
          <w:szCs w:val="24"/>
        </w:rPr>
        <w:t xml:space="preserve"> population-</w:t>
      </w:r>
      <w:r w:rsidR="00DE18B5">
        <w:rPr>
          <w:rFonts w:ascii="Times New Roman" w:hAnsi="Times New Roman" w:cs="Times New Roman"/>
          <w:sz w:val="24"/>
          <w:szCs w:val="24"/>
        </w:rPr>
        <w:t>representative effect-size estimates</w:t>
      </w:r>
      <w:r w:rsidRPr="00B84387">
        <w:rPr>
          <w:rFonts w:ascii="Times New Roman" w:hAnsi="Times New Roman" w:cs="Times New Roman"/>
          <w:sz w:val="24"/>
          <w:szCs w:val="24"/>
        </w:rPr>
        <w:t>. The weights account for sampling probabilities as well as potential non-representativeness introduced by survey non-response, and have been used in previous applications of APC approaches in this sample</w:t>
      </w:r>
      <w:r w:rsidR="000D76AA" w:rsidRPr="00B84387">
        <w:rPr>
          <w:rFonts w:ascii="Times New Roman" w:hAnsi="Times New Roman" w:cs="Times New Roman"/>
          <w:sz w:val="24"/>
          <w:szCs w:val="24"/>
        </w:rPr>
        <w:t xml:space="preserve"> </w:t>
      </w:r>
      <w:r w:rsidR="000C67A7" w:rsidRPr="00B84387">
        <w:rPr>
          <w:rFonts w:ascii="Times New Roman" w:hAnsi="Times New Roman" w:cs="Times New Roman"/>
          <w:sz w:val="24"/>
          <w:szCs w:val="24"/>
        </w:rPr>
        <w:t>(78,79)</w:t>
      </w:r>
      <w:r w:rsidR="009C637A" w:rsidRPr="00B84387">
        <w:rPr>
          <w:rFonts w:ascii="Times New Roman" w:hAnsi="Times New Roman" w:cs="Times New Roman"/>
          <w:sz w:val="24"/>
          <w:szCs w:val="24"/>
        </w:rPr>
        <w:t>.</w:t>
      </w:r>
      <w:r w:rsidRPr="00B84387">
        <w:rPr>
          <w:rFonts w:ascii="Times New Roman" w:hAnsi="Times New Roman" w:cs="Times New Roman"/>
          <w:sz w:val="24"/>
          <w:szCs w:val="24"/>
        </w:rPr>
        <w:t xml:space="preserve"> Sampling strata and clusters were included as random effects and log-transformations of the sampling weights were included as fixed effects in APC analysis</w:t>
      </w:r>
      <w:r w:rsidR="00231765" w:rsidRPr="00B84387">
        <w:rPr>
          <w:rFonts w:ascii="Times New Roman" w:hAnsi="Times New Roman" w:cs="Times New Roman"/>
          <w:sz w:val="24"/>
          <w:szCs w:val="24"/>
        </w:rPr>
        <w:t xml:space="preserve"> </w:t>
      </w:r>
      <w:r w:rsidR="000C67A7" w:rsidRPr="00B84387">
        <w:rPr>
          <w:rFonts w:ascii="Times New Roman" w:hAnsi="Times New Roman" w:cs="Times New Roman"/>
          <w:kern w:val="0"/>
          <w:sz w:val="24"/>
          <w:szCs w:val="24"/>
        </w:rPr>
        <w:t>(80–82)</w:t>
      </w:r>
      <w:r w:rsidRPr="00B84387">
        <w:rPr>
          <w:rFonts w:ascii="Times New Roman" w:hAnsi="Times New Roman" w:cs="Times New Roman"/>
          <w:sz w:val="24"/>
          <w:szCs w:val="24"/>
        </w:rPr>
        <w:t>.</w:t>
      </w:r>
      <w:bookmarkEnd w:id="4"/>
    </w:p>
    <w:p w14:paraId="45A91F05" w14:textId="390C7F9A" w:rsidR="000269CC" w:rsidRPr="00B84387" w:rsidRDefault="00984D14" w:rsidP="00790AD2">
      <w:pPr>
        <w:rPr>
          <w:rFonts w:ascii="Times New Roman" w:hAnsi="Times New Roman" w:cs="Times New Roman"/>
          <w:sz w:val="24"/>
          <w:szCs w:val="24"/>
        </w:rPr>
      </w:pPr>
      <w:r w:rsidRPr="00B84387">
        <w:rPr>
          <w:rFonts w:ascii="Times New Roman" w:hAnsi="Times New Roman" w:cs="Times New Roman"/>
          <w:b/>
          <w:bCs/>
          <w:sz w:val="24"/>
          <w:szCs w:val="24"/>
        </w:rPr>
        <w:t xml:space="preserve">Sensitivity </w:t>
      </w:r>
      <w:r w:rsidR="00F55806" w:rsidRPr="00B84387">
        <w:rPr>
          <w:rFonts w:ascii="Times New Roman" w:hAnsi="Times New Roman" w:cs="Times New Roman"/>
          <w:b/>
          <w:bCs/>
          <w:sz w:val="24"/>
          <w:szCs w:val="24"/>
        </w:rPr>
        <w:t>a</w:t>
      </w:r>
      <w:r w:rsidRPr="00B84387">
        <w:rPr>
          <w:rFonts w:ascii="Times New Roman" w:hAnsi="Times New Roman" w:cs="Times New Roman"/>
          <w:b/>
          <w:bCs/>
          <w:sz w:val="24"/>
          <w:szCs w:val="24"/>
        </w:rPr>
        <w:t xml:space="preserve">nalysis: </w:t>
      </w:r>
      <w:r w:rsidR="00F55806" w:rsidRPr="00B84387">
        <w:rPr>
          <w:rFonts w:ascii="Times New Roman" w:hAnsi="Times New Roman" w:cs="Times New Roman"/>
          <w:b/>
          <w:bCs/>
          <w:sz w:val="24"/>
          <w:szCs w:val="24"/>
        </w:rPr>
        <w:t>measurement of b</w:t>
      </w:r>
      <w:r w:rsidRPr="00B84387">
        <w:rPr>
          <w:rFonts w:ascii="Times New Roman" w:hAnsi="Times New Roman" w:cs="Times New Roman"/>
          <w:b/>
          <w:bCs/>
          <w:sz w:val="24"/>
          <w:szCs w:val="24"/>
        </w:rPr>
        <w:t xml:space="preserve">iological </w:t>
      </w:r>
      <w:r w:rsidR="00F55806" w:rsidRPr="00B84387">
        <w:rPr>
          <w:rFonts w:ascii="Times New Roman" w:hAnsi="Times New Roman" w:cs="Times New Roman"/>
          <w:b/>
          <w:bCs/>
          <w:sz w:val="24"/>
          <w:szCs w:val="24"/>
        </w:rPr>
        <w:t>a</w:t>
      </w:r>
      <w:r w:rsidRPr="00B84387">
        <w:rPr>
          <w:rFonts w:ascii="Times New Roman" w:hAnsi="Times New Roman" w:cs="Times New Roman"/>
          <w:b/>
          <w:bCs/>
          <w:sz w:val="24"/>
          <w:szCs w:val="24"/>
        </w:rPr>
        <w:t>ging.</w:t>
      </w:r>
      <w:r w:rsidRPr="00B84387">
        <w:rPr>
          <w:rFonts w:ascii="Times New Roman" w:hAnsi="Times New Roman" w:cs="Times New Roman"/>
          <w:sz w:val="24"/>
          <w:szCs w:val="24"/>
        </w:rPr>
        <w:t xml:space="preserve"> </w:t>
      </w:r>
      <w:r w:rsidR="00B86442" w:rsidRPr="00B84387">
        <w:rPr>
          <w:rFonts w:ascii="Times New Roman" w:hAnsi="Times New Roman" w:cs="Times New Roman"/>
          <w:sz w:val="24"/>
          <w:szCs w:val="24"/>
        </w:rPr>
        <w:t>As previously described, d</w:t>
      </w:r>
      <w:r w:rsidRPr="00B84387">
        <w:rPr>
          <w:rFonts w:ascii="Times New Roman" w:hAnsi="Times New Roman" w:cs="Times New Roman"/>
          <w:sz w:val="24"/>
          <w:szCs w:val="24"/>
        </w:rPr>
        <w:t xml:space="preserve">ifferent biological aging algorithms </w:t>
      </w:r>
      <w:r w:rsidR="00EC3F6B" w:rsidRPr="00B84387">
        <w:rPr>
          <w:rFonts w:ascii="Times New Roman" w:hAnsi="Times New Roman" w:cs="Times New Roman"/>
          <w:sz w:val="24"/>
          <w:szCs w:val="24"/>
        </w:rPr>
        <w:t>are trained on different aging-related constructs using different statistical approaches</w:t>
      </w:r>
      <w:r w:rsidRPr="00B84387">
        <w:rPr>
          <w:rFonts w:ascii="Times New Roman" w:hAnsi="Times New Roman" w:cs="Times New Roman"/>
          <w:sz w:val="24"/>
          <w:szCs w:val="24"/>
        </w:rPr>
        <w:t xml:space="preserve">. </w:t>
      </w:r>
      <w:r w:rsidR="007D7AA3" w:rsidRPr="00B84387">
        <w:rPr>
          <w:rFonts w:ascii="Times New Roman" w:hAnsi="Times New Roman" w:cs="Times New Roman"/>
          <w:sz w:val="24"/>
          <w:szCs w:val="24"/>
        </w:rPr>
        <w:t>We therefore</w:t>
      </w:r>
      <w:r w:rsidR="00790AD2" w:rsidRPr="00B84387">
        <w:rPr>
          <w:rFonts w:ascii="Times New Roman" w:hAnsi="Times New Roman" w:cs="Times New Roman"/>
          <w:sz w:val="24"/>
          <w:szCs w:val="24"/>
        </w:rPr>
        <w:t xml:space="preserve"> repeated our analyses </w:t>
      </w:r>
      <w:r w:rsidRPr="00B84387">
        <w:rPr>
          <w:rFonts w:ascii="Times New Roman" w:hAnsi="Times New Roman" w:cs="Times New Roman"/>
          <w:sz w:val="24"/>
          <w:szCs w:val="24"/>
        </w:rPr>
        <w:t>using an alternative measure of biological aging, Homeostatic Dysregulation</w:t>
      </w:r>
      <w:r w:rsidR="00F55806" w:rsidRPr="00B84387">
        <w:rPr>
          <w:rFonts w:ascii="Times New Roman" w:hAnsi="Times New Roman" w:cs="Times New Roman"/>
          <w:sz w:val="24"/>
          <w:szCs w:val="24"/>
        </w:rPr>
        <w:t xml:space="preserve"> </w:t>
      </w:r>
      <w:r w:rsidR="00E03237" w:rsidRPr="00B84387">
        <w:rPr>
          <w:rFonts w:ascii="Times New Roman" w:hAnsi="Times New Roman" w:cs="Times New Roman"/>
          <w:sz w:val="24"/>
          <w:szCs w:val="24"/>
        </w:rPr>
        <w:t>(52)</w:t>
      </w:r>
      <w:r w:rsidR="00F55806" w:rsidRPr="00B84387">
        <w:rPr>
          <w:rFonts w:ascii="Times New Roman" w:hAnsi="Times New Roman" w:cs="Times New Roman"/>
          <w:sz w:val="24"/>
          <w:szCs w:val="24"/>
        </w:rPr>
        <w:t>.</w:t>
      </w:r>
      <w:r w:rsidR="00BD58F5" w:rsidRPr="00B84387">
        <w:rPr>
          <w:rFonts w:ascii="Times New Roman" w:hAnsi="Times New Roman" w:cs="Times New Roman"/>
          <w:sz w:val="24"/>
          <w:szCs w:val="24"/>
        </w:rPr>
        <w:t xml:space="preserve"> Rather than training biomarkers on mortality prediction, as with the PhenoAge method, the Homeostatic Dysregulation measure quantifies </w:t>
      </w:r>
      <w:r w:rsidR="00C6575D" w:rsidRPr="00B84387">
        <w:rPr>
          <w:rFonts w:ascii="Times New Roman" w:hAnsi="Times New Roman" w:cs="Times New Roman"/>
          <w:sz w:val="24"/>
          <w:szCs w:val="24"/>
        </w:rPr>
        <w:t>an individual’s deviation (as measured using Mahalanobis distance) from the biomarker profile of a young, healthy reference cohort.</w:t>
      </w:r>
      <w:r w:rsidR="00B9742E" w:rsidRPr="00B84387">
        <w:rPr>
          <w:rFonts w:ascii="Times New Roman" w:hAnsi="Times New Roman" w:cs="Times New Roman"/>
          <w:sz w:val="24"/>
          <w:szCs w:val="24"/>
        </w:rPr>
        <w:t xml:space="preserve"> </w:t>
      </w:r>
      <w:r w:rsidR="000269CC" w:rsidRPr="00B84387">
        <w:rPr>
          <w:rFonts w:ascii="Times New Roman" w:hAnsi="Times New Roman" w:cs="Times New Roman"/>
          <w:sz w:val="24"/>
          <w:szCs w:val="24"/>
        </w:rPr>
        <w:t>Consistency of findings across different algorithms builds confidence in primary study findings</w:t>
      </w:r>
      <w:r w:rsidR="008463B1" w:rsidRPr="00B84387">
        <w:rPr>
          <w:rFonts w:ascii="Times New Roman" w:hAnsi="Times New Roman" w:cs="Times New Roman"/>
          <w:sz w:val="24"/>
          <w:szCs w:val="24"/>
        </w:rPr>
        <w:t>.</w:t>
      </w:r>
    </w:p>
    <w:p w14:paraId="1A8D624D" w14:textId="2A27533C" w:rsidR="00984D14" w:rsidRPr="00B84387" w:rsidRDefault="00790AD2" w:rsidP="00E00B26">
      <w:pPr>
        <w:ind w:firstLine="720"/>
        <w:rPr>
          <w:rFonts w:ascii="Times New Roman" w:hAnsi="Times New Roman" w:cs="Times New Roman"/>
          <w:sz w:val="24"/>
          <w:szCs w:val="24"/>
        </w:rPr>
      </w:pPr>
      <w:r w:rsidRPr="00B84387">
        <w:rPr>
          <w:rFonts w:ascii="Times New Roman" w:hAnsi="Times New Roman" w:cs="Times New Roman"/>
          <w:sz w:val="24"/>
          <w:szCs w:val="24"/>
        </w:rPr>
        <w:t>Second, we tested whether APC effects identified in our primary analysis were robust to specification using the full set of biomarkers used by Levine and colleagues</w:t>
      </w:r>
      <w:r w:rsidR="005F2242" w:rsidRPr="00B84387">
        <w:rPr>
          <w:rFonts w:ascii="Times New Roman" w:hAnsi="Times New Roman" w:cs="Times New Roman"/>
          <w:sz w:val="24"/>
          <w:szCs w:val="24"/>
        </w:rPr>
        <w:t xml:space="preserve"> in the original PhenoAge measure,</w:t>
      </w:r>
      <w:r w:rsidRPr="00B84387">
        <w:rPr>
          <w:rFonts w:ascii="Times New Roman" w:hAnsi="Times New Roman" w:cs="Times New Roman"/>
          <w:sz w:val="24"/>
          <w:szCs w:val="24"/>
        </w:rPr>
        <w:t xml:space="preserve"> that were also available in all waves of NHANES (i.e., albumin, log creatinine, HbA1c, lymphocyte %, mean cell volume, red cell distribution width, log alkaline phosphatase, white blood cell count). </w:t>
      </w:r>
      <w:r w:rsidR="000269CC" w:rsidRPr="00B84387">
        <w:rPr>
          <w:rFonts w:ascii="Times New Roman" w:hAnsi="Times New Roman" w:cs="Times New Roman"/>
          <w:sz w:val="24"/>
          <w:szCs w:val="24"/>
        </w:rPr>
        <w:t>T</w:t>
      </w:r>
      <w:r w:rsidR="001C09DE" w:rsidRPr="00B84387">
        <w:rPr>
          <w:rFonts w:ascii="Times New Roman" w:hAnsi="Times New Roman" w:cs="Times New Roman"/>
          <w:sz w:val="24"/>
          <w:szCs w:val="24"/>
        </w:rPr>
        <w:t>he biomarkers used in our analysis were similar to those originally used by Levine and colleagues in the development of the PhenoAge algorithm</w:t>
      </w:r>
      <w:r w:rsidR="005A43CB" w:rsidRPr="00B84387">
        <w:rPr>
          <w:rFonts w:ascii="Times New Roman" w:hAnsi="Times New Roman" w:cs="Times New Roman"/>
          <w:sz w:val="24"/>
          <w:szCs w:val="24"/>
        </w:rPr>
        <w:t xml:space="preserve"> </w:t>
      </w:r>
      <w:r w:rsidR="00E03237" w:rsidRPr="00B84387">
        <w:rPr>
          <w:rFonts w:ascii="Times New Roman" w:hAnsi="Times New Roman" w:cs="Times New Roman"/>
          <w:sz w:val="24"/>
          <w:szCs w:val="24"/>
        </w:rPr>
        <w:t>(48)</w:t>
      </w:r>
      <w:r w:rsidR="002A4EFC" w:rsidRPr="00B84387">
        <w:rPr>
          <w:rFonts w:ascii="Times New Roman" w:hAnsi="Times New Roman" w:cs="Times New Roman"/>
          <w:sz w:val="24"/>
          <w:szCs w:val="24"/>
        </w:rPr>
        <w:t xml:space="preserve">: both measures included albumin, HbA1c, lymphocyte %, mean cell volume, red cell distribution width, white blood cell count, creatinine, and alkaline phosphatase. </w:t>
      </w:r>
      <w:r w:rsidR="009147AE" w:rsidRPr="00B84387">
        <w:rPr>
          <w:rFonts w:ascii="Times New Roman" w:hAnsi="Times New Roman" w:cs="Times New Roman"/>
          <w:sz w:val="24"/>
          <w:szCs w:val="24"/>
        </w:rPr>
        <w:t xml:space="preserve">Our measure also included glucose, uric acid, systolic BP, and pulse, which were not present in the original PhenoAge algorithm. </w:t>
      </w:r>
      <w:r w:rsidR="000269CC" w:rsidRPr="00B84387">
        <w:rPr>
          <w:rFonts w:ascii="Times New Roman" w:hAnsi="Times New Roman" w:cs="Times New Roman"/>
          <w:sz w:val="24"/>
          <w:szCs w:val="24"/>
        </w:rPr>
        <w:t xml:space="preserve">The original PhenoAge algorithm also included a measure of C-reactive protein; we were not able to include this biomarker in our analysis because it was not measured in the 2007 </w:t>
      </w:r>
      <w:r w:rsidR="002B1DA1" w:rsidRPr="00B84387">
        <w:rPr>
          <w:rFonts w:ascii="Times New Roman" w:hAnsi="Times New Roman" w:cs="Times New Roman"/>
          <w:sz w:val="24"/>
          <w:szCs w:val="24"/>
        </w:rPr>
        <w:t xml:space="preserve">and 2009 </w:t>
      </w:r>
      <w:r w:rsidR="000269CC" w:rsidRPr="00B84387">
        <w:rPr>
          <w:rFonts w:ascii="Times New Roman" w:hAnsi="Times New Roman" w:cs="Times New Roman"/>
          <w:sz w:val="24"/>
          <w:szCs w:val="24"/>
        </w:rPr>
        <w:t xml:space="preserve">waves of continuous NHANES. However, two-dimensional graphical analysis of age, period, and cohort trends </w:t>
      </w:r>
      <w:r w:rsidR="00D82675" w:rsidRPr="00B84387">
        <w:rPr>
          <w:rFonts w:ascii="Times New Roman" w:hAnsi="Times New Roman" w:cs="Times New Roman"/>
          <w:sz w:val="24"/>
          <w:szCs w:val="24"/>
        </w:rPr>
        <w:t xml:space="preserve">using available data </w:t>
      </w:r>
      <w:r w:rsidR="000269CC" w:rsidRPr="00B84387">
        <w:rPr>
          <w:rFonts w:ascii="Times New Roman" w:hAnsi="Times New Roman" w:cs="Times New Roman"/>
          <w:sz w:val="24"/>
          <w:szCs w:val="24"/>
        </w:rPr>
        <w:t xml:space="preserve">indicated that </w:t>
      </w:r>
      <w:r w:rsidR="00B57E6B" w:rsidRPr="00B84387">
        <w:rPr>
          <w:rFonts w:ascii="Times New Roman" w:hAnsi="Times New Roman" w:cs="Times New Roman"/>
          <w:sz w:val="24"/>
          <w:szCs w:val="24"/>
        </w:rPr>
        <w:t>PhenoAge specifications using the biomarker set originally used by Levine and colleagues</w:t>
      </w:r>
      <w:r w:rsidR="000269CC" w:rsidRPr="00B84387">
        <w:rPr>
          <w:rFonts w:ascii="Times New Roman" w:hAnsi="Times New Roman" w:cs="Times New Roman"/>
          <w:sz w:val="24"/>
          <w:szCs w:val="24"/>
        </w:rPr>
        <w:t xml:space="preserve"> were </w:t>
      </w:r>
      <w:r w:rsidR="00A83797" w:rsidRPr="00B84387">
        <w:rPr>
          <w:rFonts w:ascii="Times New Roman" w:hAnsi="Times New Roman" w:cs="Times New Roman"/>
          <w:sz w:val="24"/>
          <w:szCs w:val="24"/>
        </w:rPr>
        <w:t xml:space="preserve">similar regardless of </w:t>
      </w:r>
      <w:r w:rsidR="000269CC" w:rsidRPr="00B84387">
        <w:rPr>
          <w:rFonts w:ascii="Times New Roman" w:hAnsi="Times New Roman" w:cs="Times New Roman"/>
          <w:sz w:val="24"/>
          <w:szCs w:val="24"/>
        </w:rPr>
        <w:t>the inclusion of</w:t>
      </w:r>
      <w:r w:rsidR="00613BB0" w:rsidRPr="00B84387">
        <w:rPr>
          <w:rFonts w:ascii="Times New Roman" w:hAnsi="Times New Roman" w:cs="Times New Roman"/>
          <w:sz w:val="24"/>
          <w:szCs w:val="24"/>
        </w:rPr>
        <w:t xml:space="preserve"> the</w:t>
      </w:r>
      <w:r w:rsidR="000269CC" w:rsidRPr="00B84387">
        <w:rPr>
          <w:rFonts w:ascii="Times New Roman" w:hAnsi="Times New Roman" w:cs="Times New Roman"/>
          <w:sz w:val="24"/>
          <w:szCs w:val="24"/>
        </w:rPr>
        <w:t xml:space="preserve"> </w:t>
      </w:r>
      <w:r w:rsidR="00072FAB" w:rsidRPr="00B84387">
        <w:rPr>
          <w:rFonts w:ascii="Times New Roman" w:hAnsi="Times New Roman" w:cs="Times New Roman"/>
          <w:sz w:val="24"/>
          <w:szCs w:val="24"/>
        </w:rPr>
        <w:t>C-reactive protein</w:t>
      </w:r>
      <w:r w:rsidR="00613BB0" w:rsidRPr="00B84387">
        <w:rPr>
          <w:rFonts w:ascii="Times New Roman" w:hAnsi="Times New Roman" w:cs="Times New Roman"/>
          <w:sz w:val="24"/>
          <w:szCs w:val="24"/>
        </w:rPr>
        <w:t xml:space="preserve"> biomarker</w:t>
      </w:r>
      <w:r w:rsidR="000269CC" w:rsidRPr="00B84387">
        <w:rPr>
          <w:rFonts w:ascii="Times New Roman" w:hAnsi="Times New Roman" w:cs="Times New Roman"/>
          <w:sz w:val="24"/>
          <w:szCs w:val="24"/>
        </w:rPr>
        <w:t xml:space="preserve">. </w:t>
      </w:r>
    </w:p>
    <w:p w14:paraId="6AC9E8E9" w14:textId="570E5863" w:rsidR="00E830D5" w:rsidRPr="00B84387" w:rsidRDefault="00984D14" w:rsidP="00984D14">
      <w:pPr>
        <w:rPr>
          <w:rFonts w:ascii="Times New Roman" w:hAnsi="Times New Roman" w:cs="Times New Roman"/>
          <w:sz w:val="24"/>
          <w:szCs w:val="24"/>
        </w:rPr>
      </w:pPr>
      <w:r w:rsidRPr="00B84387">
        <w:rPr>
          <w:rFonts w:ascii="Times New Roman" w:hAnsi="Times New Roman" w:cs="Times New Roman"/>
          <w:b/>
          <w:bCs/>
          <w:sz w:val="24"/>
          <w:szCs w:val="24"/>
        </w:rPr>
        <w:t xml:space="preserve">Sensitivity </w:t>
      </w:r>
      <w:r w:rsidR="00F55806" w:rsidRPr="00B84387">
        <w:rPr>
          <w:rFonts w:ascii="Times New Roman" w:hAnsi="Times New Roman" w:cs="Times New Roman"/>
          <w:b/>
          <w:bCs/>
          <w:sz w:val="24"/>
          <w:szCs w:val="24"/>
        </w:rPr>
        <w:t>a</w:t>
      </w:r>
      <w:r w:rsidRPr="00B84387">
        <w:rPr>
          <w:rFonts w:ascii="Times New Roman" w:hAnsi="Times New Roman" w:cs="Times New Roman"/>
          <w:b/>
          <w:bCs/>
          <w:sz w:val="24"/>
          <w:szCs w:val="24"/>
        </w:rPr>
        <w:t xml:space="preserve">nalysis: </w:t>
      </w:r>
      <w:r w:rsidR="00F55806" w:rsidRPr="00B84387">
        <w:rPr>
          <w:rFonts w:ascii="Times New Roman" w:hAnsi="Times New Roman" w:cs="Times New Roman"/>
          <w:b/>
          <w:bCs/>
          <w:sz w:val="24"/>
          <w:szCs w:val="24"/>
        </w:rPr>
        <w:t>a</w:t>
      </w:r>
      <w:r w:rsidR="00BF00F5" w:rsidRPr="00B84387">
        <w:rPr>
          <w:rFonts w:ascii="Times New Roman" w:hAnsi="Times New Roman" w:cs="Times New Roman"/>
          <w:b/>
          <w:bCs/>
          <w:sz w:val="24"/>
          <w:szCs w:val="24"/>
        </w:rPr>
        <w:t>lternative</w:t>
      </w:r>
      <w:r w:rsidRPr="00B84387">
        <w:rPr>
          <w:rFonts w:ascii="Times New Roman" w:hAnsi="Times New Roman" w:cs="Times New Roman"/>
          <w:b/>
          <w:bCs/>
          <w:sz w:val="24"/>
          <w:szCs w:val="24"/>
        </w:rPr>
        <w:t xml:space="preserve"> </w:t>
      </w:r>
      <w:r w:rsidR="00F55806" w:rsidRPr="00B84387">
        <w:rPr>
          <w:rFonts w:ascii="Times New Roman" w:hAnsi="Times New Roman" w:cs="Times New Roman"/>
          <w:b/>
          <w:bCs/>
          <w:sz w:val="24"/>
          <w:szCs w:val="24"/>
        </w:rPr>
        <w:t>a</w:t>
      </w:r>
      <w:r w:rsidRPr="00B84387">
        <w:rPr>
          <w:rFonts w:ascii="Times New Roman" w:hAnsi="Times New Roman" w:cs="Times New Roman"/>
          <w:b/>
          <w:bCs/>
          <w:sz w:val="24"/>
          <w:szCs w:val="24"/>
        </w:rPr>
        <w:t>pproaches to APC analysis.</w:t>
      </w:r>
      <w:r w:rsidRPr="00B84387">
        <w:rPr>
          <w:rFonts w:ascii="Times New Roman" w:hAnsi="Times New Roman" w:cs="Times New Roman"/>
          <w:sz w:val="24"/>
          <w:szCs w:val="24"/>
        </w:rPr>
        <w:t xml:space="preserve"> </w:t>
      </w:r>
      <w:r w:rsidR="00BF00F5" w:rsidRPr="00B84387">
        <w:rPr>
          <w:rFonts w:ascii="Times New Roman" w:hAnsi="Times New Roman" w:cs="Times New Roman"/>
          <w:sz w:val="24"/>
          <w:szCs w:val="24"/>
        </w:rPr>
        <w:t xml:space="preserve">We </w:t>
      </w:r>
      <w:r w:rsidR="00CC7071" w:rsidRPr="00B84387">
        <w:rPr>
          <w:rFonts w:ascii="Times New Roman" w:hAnsi="Times New Roman" w:cs="Times New Roman"/>
          <w:sz w:val="24"/>
          <w:szCs w:val="24"/>
        </w:rPr>
        <w:t xml:space="preserve">further tested the robustness </w:t>
      </w:r>
      <w:r w:rsidR="00BF00F5" w:rsidRPr="00B84387">
        <w:rPr>
          <w:rFonts w:ascii="Times New Roman" w:hAnsi="Times New Roman" w:cs="Times New Roman"/>
          <w:sz w:val="24"/>
          <w:szCs w:val="24"/>
        </w:rPr>
        <w:t xml:space="preserve">of </w:t>
      </w:r>
      <w:r w:rsidR="00CC7071" w:rsidRPr="00B84387">
        <w:rPr>
          <w:rFonts w:ascii="Times New Roman" w:hAnsi="Times New Roman" w:cs="Times New Roman"/>
          <w:sz w:val="24"/>
          <w:szCs w:val="24"/>
        </w:rPr>
        <w:t xml:space="preserve">study findings to alternative specifications of our age-period-cohort model. First, we employed </w:t>
      </w:r>
      <w:r w:rsidR="00BF00F5" w:rsidRPr="00B84387">
        <w:rPr>
          <w:rFonts w:ascii="Times New Roman" w:hAnsi="Times New Roman" w:cs="Times New Roman"/>
          <w:sz w:val="24"/>
          <w:szCs w:val="24"/>
        </w:rPr>
        <w:t xml:space="preserve">two alternative methods of age-period-cohort decomposition: the Intrinsic Estimator method and the Median Polish procedure. Unlike the HAPC approach, both methods rely on the use of aggregate data arranged in a two-dimensional age </w:t>
      </w:r>
      <w:r w:rsidR="00BF00F5" w:rsidRPr="00B84387">
        <w:rPr>
          <w:rFonts w:ascii="Times New Roman" w:hAnsi="Times New Roman" w:cs="Times New Roman"/>
          <w:sz w:val="24"/>
          <w:szCs w:val="24"/>
        </w:rPr>
        <w:sym w:font="Symbol" w:char="F0B4"/>
      </w:r>
      <w:r w:rsidR="00BF00F5" w:rsidRPr="00B84387">
        <w:rPr>
          <w:rFonts w:ascii="Times New Roman" w:hAnsi="Times New Roman" w:cs="Times New Roman"/>
          <w:sz w:val="24"/>
          <w:szCs w:val="24"/>
        </w:rPr>
        <w:t xml:space="preserve"> period matrix. Sampling weights were therefore applied by calculating weighted means for each cell in the age </w:t>
      </w:r>
      <w:r w:rsidR="00BF00F5" w:rsidRPr="00B84387">
        <w:rPr>
          <w:rFonts w:ascii="Times New Roman" w:hAnsi="Times New Roman" w:cs="Times New Roman"/>
          <w:sz w:val="24"/>
          <w:szCs w:val="24"/>
        </w:rPr>
        <w:sym w:font="Symbol" w:char="F0B4"/>
      </w:r>
      <w:r w:rsidR="00BF00F5" w:rsidRPr="00B84387">
        <w:rPr>
          <w:rFonts w:ascii="Times New Roman" w:hAnsi="Times New Roman" w:cs="Times New Roman"/>
          <w:sz w:val="24"/>
          <w:szCs w:val="24"/>
        </w:rPr>
        <w:t xml:space="preserve"> period matrix. The Intrinsic Estimator is a widely used application of constrained generalized linear models that </w:t>
      </w:r>
      <w:r w:rsidR="00BF00F5" w:rsidRPr="00B84387">
        <w:rPr>
          <w:rFonts w:ascii="Times New Roman" w:hAnsi="Times New Roman" w:cs="Times New Roman"/>
          <w:sz w:val="24"/>
          <w:szCs w:val="24"/>
        </w:rPr>
        <w:lastRenderedPageBreak/>
        <w:t>minimizes identification assumptions</w:t>
      </w:r>
      <w:r w:rsidR="00F04E51" w:rsidRPr="00B84387">
        <w:rPr>
          <w:rFonts w:ascii="Times New Roman" w:hAnsi="Times New Roman" w:cs="Times New Roman"/>
          <w:sz w:val="24"/>
          <w:szCs w:val="24"/>
        </w:rPr>
        <w:t xml:space="preserve"> </w:t>
      </w:r>
      <w:r w:rsidR="000C67A7" w:rsidRPr="00B84387">
        <w:rPr>
          <w:rFonts w:ascii="Times New Roman" w:hAnsi="Times New Roman" w:cs="Times New Roman"/>
          <w:sz w:val="24"/>
          <w:szCs w:val="24"/>
        </w:rPr>
        <w:t>(83)</w:t>
      </w:r>
      <w:r w:rsidR="00BF00F5" w:rsidRPr="00B84387">
        <w:rPr>
          <w:rFonts w:ascii="Times New Roman" w:hAnsi="Times New Roman" w:cs="Times New Roman"/>
          <w:sz w:val="24"/>
          <w:szCs w:val="24"/>
        </w:rPr>
        <w:t xml:space="preserve">. Generally, constrained models solve for the equation </w:t>
      </w:r>
      <m:oMath>
        <m:r>
          <w:rPr>
            <w:rFonts w:ascii="Cambria Math" w:hAnsi="Cambria Math" w:cs="Times New Roman"/>
            <w:sz w:val="24"/>
            <w:szCs w:val="24"/>
          </w:rPr>
          <m:t>BA</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i</m:t>
            </m:r>
          </m:sub>
          <m:sup>
            <m:r>
              <w:rPr>
                <w:rFonts w:ascii="Cambria Math" w:hAnsi="Cambria Math" w:cs="Times New Roman"/>
                <w:sz w:val="24"/>
                <w:szCs w:val="24"/>
              </w:rPr>
              <m:t>A</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P</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m:t>
            </m:r>
          </m:sub>
          <m:sup>
            <m:r>
              <w:rPr>
                <w:rFonts w:ascii="Cambria Math" w:hAnsi="Cambria Math" w:cs="Times New Roman"/>
                <w:sz w:val="24"/>
                <w:szCs w:val="24"/>
              </w:rPr>
              <m:t>C</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oMath>
      <w:r w:rsidR="00BF00F5" w:rsidRPr="00B84387">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BF00F5" w:rsidRPr="00B84387">
        <w:rPr>
          <w:rFonts w:ascii="Times New Roman" w:hAnsi="Times New Roman" w:cs="Times New Roman"/>
          <w:sz w:val="24"/>
          <w:szCs w:val="24"/>
        </w:rPr>
        <w:t xml:space="preserve"> represents a vector of age brackets </w:t>
      </w:r>
      <w:r w:rsidR="00BF00F5" w:rsidRPr="00B84387">
        <w:rPr>
          <w:rFonts w:ascii="Times New Roman" w:hAnsi="Times New Roman" w:cs="Times New Roman"/>
          <w:sz w:val="24"/>
          <w:szCs w:val="24"/>
        </w:rPr>
        <w:softHyphen/>
      </w:r>
      <m:oMath>
        <m:r>
          <w:rPr>
            <w:rFonts w:ascii="Cambria Math" w:hAnsi="Cambria Math" w:cs="Times New Roman"/>
            <w:sz w:val="24"/>
            <w:szCs w:val="24"/>
          </w:rPr>
          <m:t>i</m:t>
        </m:r>
      </m:oMath>
      <w:r w:rsidR="00BF00F5" w:rsidRPr="00B8438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oMath>
      <w:r w:rsidR="00BF00F5" w:rsidRPr="00B84387">
        <w:rPr>
          <w:rFonts w:ascii="Times New Roman" w:hAnsi="Times New Roman" w:cs="Times New Roman"/>
          <w:sz w:val="24"/>
          <w:szCs w:val="24"/>
        </w:rPr>
        <w:t xml:space="preserve"> represents a vector of time periods </w:t>
      </w:r>
      <m:oMath>
        <m:r>
          <w:rPr>
            <w:rFonts w:ascii="Cambria Math" w:hAnsi="Cambria Math" w:cs="Times New Roman"/>
            <w:sz w:val="24"/>
            <w:szCs w:val="24"/>
          </w:rPr>
          <m:t>p</m:t>
        </m:r>
      </m:oMath>
      <w:r w:rsidR="00BF00F5" w:rsidRPr="00B84387">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oMath>
      <w:r w:rsidR="00BF00F5" w:rsidRPr="00B84387">
        <w:rPr>
          <w:rFonts w:ascii="Times New Roman" w:hAnsi="Times New Roman" w:cs="Times New Roman"/>
          <w:sz w:val="24"/>
          <w:szCs w:val="24"/>
        </w:rPr>
        <w:t xml:space="preserve"> represents a vector of birth cohorts </w:t>
      </w:r>
      <m:oMath>
        <m:r>
          <w:rPr>
            <w:rFonts w:ascii="Cambria Math" w:hAnsi="Cambria Math" w:cs="Times New Roman"/>
            <w:sz w:val="24"/>
            <w:szCs w:val="24"/>
          </w:rPr>
          <m:t>c</m:t>
        </m:r>
      </m:oMath>
      <w:r w:rsidR="00BF00F5" w:rsidRPr="00B84387">
        <w:rPr>
          <w:rFonts w:ascii="Times New Roman" w:hAnsi="Times New Roman" w:cs="Times New Roman"/>
          <w:sz w:val="24"/>
          <w:szCs w:val="24"/>
        </w:rPr>
        <w:t xml:space="preserve">. To address the APC identification problem, at least two parameters within the same vector are set to be equal (e.g., </w:t>
      </w: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P</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m:t>
            </m:r>
          </m:sub>
          <m:sup>
            <m:r>
              <w:rPr>
                <w:rFonts w:ascii="Cambria Math" w:hAnsi="Cambria Math" w:cs="Times New Roman"/>
                <w:sz w:val="24"/>
                <w:szCs w:val="24"/>
              </w:rPr>
              <m:t>P</m:t>
            </m:r>
          </m:sup>
        </m:sSubSup>
      </m:oMath>
      <w:r w:rsidR="00BF00F5" w:rsidRPr="00B84387">
        <w:rPr>
          <w:rFonts w:ascii="Times New Roman" w:hAnsi="Times New Roman" w:cs="Times New Roman"/>
          <w:sz w:val="24"/>
          <w:szCs w:val="24"/>
        </w:rPr>
        <w:t xml:space="preserve">). The Intrinsic Estimator provides a data-driven solution by identifying the equality constraints that have the least influence on model estimates. The Median Polish procedure, conversely, defines a cohort effect as the interaction </w:t>
      </w:r>
      <w:r w:rsidR="00CC05DA" w:rsidRPr="00B84387">
        <w:rPr>
          <w:rFonts w:ascii="Times New Roman" w:hAnsi="Times New Roman" w:cs="Times New Roman"/>
          <w:sz w:val="24"/>
          <w:szCs w:val="24"/>
        </w:rPr>
        <w:t xml:space="preserve">(i.e., departure from additivity) </w:t>
      </w:r>
      <w:r w:rsidR="00BF00F5" w:rsidRPr="00B84387">
        <w:rPr>
          <w:rFonts w:ascii="Times New Roman" w:hAnsi="Times New Roman" w:cs="Times New Roman"/>
          <w:sz w:val="24"/>
          <w:szCs w:val="24"/>
        </w:rPr>
        <w:t>of age and period effect</w:t>
      </w:r>
      <w:r w:rsidR="00300602" w:rsidRPr="00B84387">
        <w:rPr>
          <w:rFonts w:ascii="Times New Roman" w:hAnsi="Times New Roman" w:cs="Times New Roman"/>
          <w:sz w:val="24"/>
          <w:szCs w:val="24"/>
        </w:rPr>
        <w:t>s</w:t>
      </w:r>
      <w:r w:rsidR="00F04E51" w:rsidRPr="00B84387">
        <w:rPr>
          <w:rFonts w:ascii="Times New Roman" w:hAnsi="Times New Roman" w:cs="Times New Roman"/>
          <w:sz w:val="24"/>
          <w:szCs w:val="24"/>
        </w:rPr>
        <w:t xml:space="preserve"> </w:t>
      </w:r>
      <w:r w:rsidR="000C67A7" w:rsidRPr="00B84387">
        <w:rPr>
          <w:rFonts w:ascii="Times New Roman" w:hAnsi="Times New Roman" w:cs="Times New Roman"/>
          <w:sz w:val="24"/>
          <w:szCs w:val="24"/>
        </w:rPr>
        <w:t>(84)</w:t>
      </w:r>
      <w:r w:rsidR="00BF00F5" w:rsidRPr="00B84387">
        <w:rPr>
          <w:rFonts w:ascii="Times New Roman" w:hAnsi="Times New Roman" w:cs="Times New Roman"/>
          <w:sz w:val="24"/>
          <w:szCs w:val="24"/>
        </w:rPr>
        <w:t xml:space="preserve">. </w:t>
      </w:r>
      <w:r w:rsidR="00955AFD" w:rsidRPr="00B84387">
        <w:rPr>
          <w:rFonts w:ascii="Times New Roman" w:hAnsi="Times New Roman" w:cs="Times New Roman"/>
          <w:sz w:val="24"/>
          <w:szCs w:val="24"/>
        </w:rPr>
        <w:t>In the first phase of the procedure</w:t>
      </w:r>
      <w:r w:rsidR="00DD4243" w:rsidRPr="00B84387">
        <w:rPr>
          <w:rFonts w:ascii="Times New Roman" w:hAnsi="Times New Roman" w:cs="Times New Roman"/>
          <w:sz w:val="24"/>
          <w:szCs w:val="24"/>
        </w:rPr>
        <w:t xml:space="preserve">, </w:t>
      </w:r>
      <w:r w:rsidR="00BF00F5" w:rsidRPr="00B84387">
        <w:rPr>
          <w:rFonts w:ascii="Times New Roman" w:hAnsi="Times New Roman" w:cs="Times New Roman"/>
          <w:sz w:val="24"/>
          <w:szCs w:val="24"/>
        </w:rPr>
        <w:t>the median value</w:t>
      </w:r>
      <w:r w:rsidR="00567ACE" w:rsidRPr="00B84387">
        <w:rPr>
          <w:rFonts w:ascii="Times New Roman" w:hAnsi="Times New Roman" w:cs="Times New Roman"/>
          <w:sz w:val="24"/>
          <w:szCs w:val="24"/>
        </w:rPr>
        <w:t>s</w:t>
      </w:r>
      <w:r w:rsidR="00BF00F5" w:rsidRPr="00B84387">
        <w:rPr>
          <w:rFonts w:ascii="Times New Roman" w:hAnsi="Times New Roman" w:cs="Times New Roman"/>
          <w:sz w:val="24"/>
          <w:szCs w:val="24"/>
        </w:rPr>
        <w:t xml:space="preserve"> of each row and column </w:t>
      </w:r>
      <w:r w:rsidR="00DD4243" w:rsidRPr="00B84387">
        <w:rPr>
          <w:rFonts w:ascii="Times New Roman" w:hAnsi="Times New Roman" w:cs="Times New Roman"/>
          <w:sz w:val="24"/>
          <w:szCs w:val="24"/>
        </w:rPr>
        <w:t xml:space="preserve">are iteratively subtracted </w:t>
      </w:r>
      <w:r w:rsidR="00BF00F5" w:rsidRPr="00B84387">
        <w:rPr>
          <w:rFonts w:ascii="Times New Roman" w:hAnsi="Times New Roman" w:cs="Times New Roman"/>
          <w:sz w:val="24"/>
          <w:szCs w:val="24"/>
        </w:rPr>
        <w:t xml:space="preserve">from each cell of the </w:t>
      </w:r>
      <m:oMath>
        <m:r>
          <w:rPr>
            <w:rFonts w:ascii="Cambria Math" w:hAnsi="Cambria Math" w:cs="Times New Roman"/>
            <w:sz w:val="24"/>
            <w:szCs w:val="24"/>
          </w:rPr>
          <m:t>age×period</m:t>
        </m:r>
      </m:oMath>
      <w:r w:rsidR="00BF00F5" w:rsidRPr="00B84387">
        <w:rPr>
          <w:rFonts w:ascii="Times New Roman" w:hAnsi="Times New Roman" w:cs="Times New Roman"/>
          <w:sz w:val="24"/>
          <w:szCs w:val="24"/>
        </w:rPr>
        <w:t xml:space="preserve"> contingency table</w:t>
      </w:r>
      <w:r w:rsidR="00955AFD" w:rsidRPr="00B84387">
        <w:rPr>
          <w:rFonts w:ascii="Times New Roman" w:hAnsi="Times New Roman" w:cs="Times New Roman"/>
          <w:sz w:val="24"/>
          <w:szCs w:val="24"/>
        </w:rPr>
        <w:t>,</w:t>
      </w:r>
      <w:r w:rsidR="00BF00F5" w:rsidRPr="00B84387">
        <w:rPr>
          <w:rFonts w:ascii="Times New Roman" w:hAnsi="Times New Roman" w:cs="Times New Roman"/>
          <w:sz w:val="24"/>
          <w:szCs w:val="24"/>
        </w:rPr>
        <w:t xml:space="preserve"> until </w:t>
      </w:r>
      <w:r w:rsidR="00C0311A" w:rsidRPr="00B84387">
        <w:rPr>
          <w:rFonts w:ascii="Times New Roman" w:hAnsi="Times New Roman" w:cs="Times New Roman"/>
          <w:sz w:val="24"/>
          <w:szCs w:val="24"/>
        </w:rPr>
        <w:t>they</w:t>
      </w:r>
      <w:r w:rsidR="00BF00F5" w:rsidRPr="00B84387">
        <w:rPr>
          <w:rFonts w:ascii="Times New Roman" w:hAnsi="Times New Roman" w:cs="Times New Roman"/>
          <w:sz w:val="24"/>
          <w:szCs w:val="24"/>
        </w:rPr>
        <w:t xml:space="preserve"> are </w:t>
      </w:r>
      <w:r w:rsidR="000658E1" w:rsidRPr="00B84387">
        <w:rPr>
          <w:rFonts w:ascii="Times New Roman" w:hAnsi="Times New Roman" w:cs="Times New Roman"/>
          <w:sz w:val="24"/>
          <w:szCs w:val="24"/>
        </w:rPr>
        <w:t xml:space="preserve">approximately </w:t>
      </w:r>
      <w:r w:rsidR="00BF00F5" w:rsidRPr="00B84387">
        <w:rPr>
          <w:rFonts w:ascii="Times New Roman" w:hAnsi="Times New Roman" w:cs="Times New Roman"/>
          <w:sz w:val="24"/>
          <w:szCs w:val="24"/>
        </w:rPr>
        <w:t xml:space="preserve">equal to zero. </w:t>
      </w:r>
      <w:r w:rsidR="006D14B5" w:rsidRPr="00B84387">
        <w:rPr>
          <w:rFonts w:ascii="Times New Roman" w:hAnsi="Times New Roman" w:cs="Times New Roman"/>
          <w:sz w:val="24"/>
          <w:szCs w:val="24"/>
        </w:rPr>
        <w:t xml:space="preserve">The number of iterations needed for </w:t>
      </w:r>
      <w:r w:rsidR="00C0311A" w:rsidRPr="00B84387">
        <w:rPr>
          <w:rFonts w:ascii="Times New Roman" w:hAnsi="Times New Roman" w:cs="Times New Roman"/>
          <w:sz w:val="24"/>
          <w:szCs w:val="24"/>
        </w:rPr>
        <w:t>the row and</w:t>
      </w:r>
      <w:r w:rsidR="006D14B5" w:rsidRPr="00B84387">
        <w:rPr>
          <w:rFonts w:ascii="Times New Roman" w:hAnsi="Times New Roman" w:cs="Times New Roman"/>
          <w:sz w:val="24"/>
          <w:szCs w:val="24"/>
        </w:rPr>
        <w:t xml:space="preserve"> </w:t>
      </w:r>
      <w:r w:rsidR="00C0311A" w:rsidRPr="00B84387">
        <w:rPr>
          <w:rFonts w:ascii="Times New Roman" w:hAnsi="Times New Roman" w:cs="Times New Roman"/>
          <w:sz w:val="24"/>
          <w:szCs w:val="24"/>
        </w:rPr>
        <w:t xml:space="preserve">column medians to approach zero </w:t>
      </w:r>
      <w:r w:rsidR="006D14B5" w:rsidRPr="00B84387">
        <w:rPr>
          <w:rFonts w:ascii="Times New Roman" w:hAnsi="Times New Roman" w:cs="Times New Roman"/>
          <w:sz w:val="24"/>
          <w:szCs w:val="24"/>
        </w:rPr>
        <w:t xml:space="preserve">varies. </w:t>
      </w:r>
      <w:r w:rsidR="0023486D" w:rsidRPr="00B84387">
        <w:rPr>
          <w:rFonts w:ascii="Times New Roman" w:hAnsi="Times New Roman" w:cs="Times New Roman"/>
          <w:sz w:val="24"/>
          <w:szCs w:val="24"/>
        </w:rPr>
        <w:t xml:space="preserve">Finally, </w:t>
      </w:r>
      <w:r w:rsidR="00E830D5" w:rsidRPr="00B84387">
        <w:rPr>
          <w:rFonts w:ascii="Times New Roman" w:hAnsi="Times New Roman" w:cs="Times New Roman"/>
          <w:sz w:val="24"/>
          <w:szCs w:val="24"/>
        </w:rPr>
        <w:t>estimates of the overall cohort effect</w:t>
      </w:r>
      <w:r w:rsidR="008620F8" w:rsidRPr="00B84387">
        <w:rPr>
          <w:rFonts w:ascii="Times New Roman" w:hAnsi="Times New Roman" w:cs="Times New Roman"/>
          <w:sz w:val="24"/>
          <w:szCs w:val="24"/>
        </w:rPr>
        <w:t xml:space="preserve"> are obtained by running a linear regression of the form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AP</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C</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APC</m:t>
            </m:r>
          </m:sub>
        </m:sSub>
      </m:oMath>
      <w:r w:rsidR="008620F8" w:rsidRPr="00B84387">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AP</m:t>
            </m:r>
          </m:sub>
        </m:sSub>
      </m:oMath>
      <w:r w:rsidR="008620F8" w:rsidRPr="00B84387">
        <w:rPr>
          <w:rFonts w:ascii="Times New Roman" w:eastAsiaTheme="minorEastAsia" w:hAnsi="Times New Roman" w:cs="Times New Roman"/>
          <w:sz w:val="24"/>
          <w:szCs w:val="24"/>
        </w:rPr>
        <w:t xml:space="preserve"> represents the </w:t>
      </w:r>
      <w:r w:rsidR="008620F8" w:rsidRPr="00B84387">
        <w:rPr>
          <w:rFonts w:ascii="Times New Roman" w:hAnsi="Times New Roman" w:cs="Times New Roman"/>
          <w:sz w:val="24"/>
          <w:szCs w:val="24"/>
        </w:rPr>
        <w:t xml:space="preserve">residuals in a given cell identified by the intersection of age group </w:t>
      </w:r>
      <m:oMath>
        <m:r>
          <w:rPr>
            <w:rFonts w:ascii="Cambria Math" w:hAnsi="Cambria Math" w:cs="Times New Roman"/>
            <w:sz w:val="24"/>
            <w:szCs w:val="24"/>
          </w:rPr>
          <m:t>A</m:t>
        </m:r>
      </m:oMath>
      <w:r w:rsidR="008620F8" w:rsidRPr="00B84387">
        <w:rPr>
          <w:rFonts w:ascii="Times New Roman" w:eastAsiaTheme="minorEastAsia" w:hAnsi="Times New Roman" w:cs="Times New Roman"/>
          <w:sz w:val="24"/>
          <w:szCs w:val="24"/>
        </w:rPr>
        <w:t xml:space="preserve"> and period </w:t>
      </w:r>
      <m:oMath>
        <m:r>
          <w:rPr>
            <w:rFonts w:ascii="Cambria Math" w:eastAsiaTheme="minorEastAsia" w:hAnsi="Cambria Math" w:cs="Times New Roman"/>
            <w:sz w:val="24"/>
            <w:szCs w:val="24"/>
          </w:rPr>
          <m:t>P</m:t>
        </m:r>
      </m:oMath>
      <w:r w:rsidR="008620F8" w:rsidRPr="00B84387">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oMath>
      <w:r w:rsidR="008620F8" w:rsidRPr="00B84387">
        <w:rPr>
          <w:rFonts w:ascii="Times New Roman" w:eastAsiaTheme="minorEastAsia" w:hAnsi="Times New Roman" w:cs="Times New Roman"/>
          <w:sz w:val="24"/>
          <w:szCs w:val="24"/>
        </w:rPr>
        <w:t xml:space="preserve"> represents an indicator variable for membership in cohort </w:t>
      </w:r>
      <m:oMath>
        <m:r>
          <w:rPr>
            <w:rFonts w:ascii="Cambria Math" w:eastAsiaTheme="minorEastAsia" w:hAnsi="Cambria Math" w:cs="Times New Roman"/>
            <w:sz w:val="24"/>
            <w:szCs w:val="24"/>
          </w:rPr>
          <m:t>C</m:t>
        </m:r>
      </m:oMath>
      <w:r w:rsidR="008620F8" w:rsidRPr="00B84387">
        <w:rPr>
          <w:rFonts w:ascii="Times New Roman" w:eastAsiaTheme="minorEastAsia" w:hAnsi="Times New Roman" w:cs="Times New Roman"/>
          <w:sz w:val="24"/>
          <w:szCs w:val="24"/>
        </w:rPr>
        <w:t>.</w:t>
      </w:r>
    </w:p>
    <w:p w14:paraId="67EDFF10" w14:textId="5150ABF2" w:rsidR="00984D14" w:rsidRPr="00B84387" w:rsidRDefault="00984D14" w:rsidP="00192352">
      <w:pPr>
        <w:ind w:firstLine="720"/>
        <w:rPr>
          <w:rFonts w:ascii="Times New Roman" w:hAnsi="Times New Roman" w:cs="Times New Roman"/>
          <w:sz w:val="24"/>
          <w:szCs w:val="24"/>
        </w:rPr>
      </w:pPr>
      <w:r w:rsidRPr="00B84387">
        <w:rPr>
          <w:rFonts w:ascii="Times New Roman" w:hAnsi="Times New Roman" w:cs="Times New Roman"/>
          <w:sz w:val="24"/>
          <w:szCs w:val="24"/>
        </w:rPr>
        <w:t>Different approaches to APC identification have different target estimands. These result in different interpretation of cohort effects, as has been discussed in prior literature</w:t>
      </w:r>
      <w:r w:rsidR="00902763" w:rsidRPr="00B84387">
        <w:rPr>
          <w:rFonts w:ascii="Times New Roman" w:hAnsi="Times New Roman" w:cs="Times New Roman"/>
          <w:sz w:val="24"/>
          <w:szCs w:val="24"/>
        </w:rPr>
        <w:t xml:space="preserve"> </w:t>
      </w:r>
      <w:r w:rsidR="00802A56" w:rsidRPr="00B84387">
        <w:rPr>
          <w:rFonts w:ascii="Times New Roman" w:hAnsi="Times New Roman" w:cs="Times New Roman"/>
          <w:sz w:val="24"/>
          <w:szCs w:val="24"/>
        </w:rPr>
        <w:t>(71)</w:t>
      </w:r>
      <w:r w:rsidRPr="00B84387">
        <w:rPr>
          <w:rFonts w:ascii="Times New Roman" w:hAnsi="Times New Roman" w:cs="Times New Roman"/>
          <w:sz w:val="24"/>
          <w:szCs w:val="24"/>
        </w:rPr>
        <w:t xml:space="preserve">. Briefly, </w:t>
      </w:r>
      <w:r w:rsidR="006651B5" w:rsidRPr="00B84387">
        <w:rPr>
          <w:rFonts w:ascii="Times New Roman" w:hAnsi="Times New Roman" w:cs="Times New Roman"/>
          <w:sz w:val="24"/>
          <w:szCs w:val="24"/>
        </w:rPr>
        <w:t xml:space="preserve">constrained </w:t>
      </w:r>
      <w:r w:rsidRPr="00B84387">
        <w:rPr>
          <w:rFonts w:ascii="Times New Roman" w:hAnsi="Times New Roman" w:cs="Times New Roman"/>
          <w:sz w:val="24"/>
          <w:szCs w:val="24"/>
        </w:rPr>
        <w:t>coefficient approaches</w:t>
      </w:r>
      <w:r w:rsidR="006651B5" w:rsidRPr="00B84387">
        <w:rPr>
          <w:rFonts w:ascii="Times New Roman" w:hAnsi="Times New Roman" w:cs="Times New Roman"/>
          <w:sz w:val="24"/>
          <w:szCs w:val="24"/>
        </w:rPr>
        <w:t xml:space="preserve">, including the Intrinsic Estimator, </w:t>
      </w:r>
      <w:r w:rsidRPr="00B84387">
        <w:rPr>
          <w:rFonts w:ascii="Times New Roman" w:hAnsi="Times New Roman" w:cs="Times New Roman"/>
          <w:sz w:val="24"/>
          <w:szCs w:val="24"/>
        </w:rPr>
        <w:t xml:space="preserve">treat cohort effects as </w:t>
      </w:r>
      <w:r w:rsidR="00AB3879" w:rsidRPr="00B84387">
        <w:rPr>
          <w:rFonts w:ascii="Times New Roman" w:hAnsi="Times New Roman" w:cs="Times New Roman"/>
          <w:sz w:val="24"/>
          <w:szCs w:val="24"/>
        </w:rPr>
        <w:t xml:space="preserve">the sum of all </w:t>
      </w:r>
      <w:r w:rsidR="00275201" w:rsidRPr="00B84387">
        <w:rPr>
          <w:rFonts w:ascii="Times New Roman" w:hAnsi="Times New Roman" w:cs="Times New Roman"/>
          <w:sz w:val="24"/>
          <w:szCs w:val="24"/>
        </w:rPr>
        <w:t>exposure</w:t>
      </w:r>
      <w:r w:rsidR="00AB3879" w:rsidRPr="00B84387">
        <w:rPr>
          <w:rFonts w:ascii="Times New Roman" w:hAnsi="Times New Roman" w:cs="Times New Roman"/>
          <w:sz w:val="24"/>
          <w:szCs w:val="24"/>
        </w:rPr>
        <w:t xml:space="preserve"> impacts unique </w:t>
      </w:r>
      <w:r w:rsidR="0075042F" w:rsidRPr="00B84387">
        <w:rPr>
          <w:rFonts w:ascii="Times New Roman" w:hAnsi="Times New Roman" w:cs="Times New Roman"/>
          <w:sz w:val="24"/>
          <w:szCs w:val="24"/>
        </w:rPr>
        <w:t xml:space="preserve">to </w:t>
      </w:r>
      <w:r w:rsidR="00AB3879" w:rsidRPr="00B84387">
        <w:rPr>
          <w:rFonts w:ascii="Times New Roman" w:hAnsi="Times New Roman" w:cs="Times New Roman"/>
          <w:sz w:val="24"/>
          <w:szCs w:val="24"/>
        </w:rPr>
        <w:t xml:space="preserve">and shared by </w:t>
      </w:r>
      <w:r w:rsidR="0075042F" w:rsidRPr="00B84387">
        <w:rPr>
          <w:rFonts w:ascii="Times New Roman" w:hAnsi="Times New Roman" w:cs="Times New Roman"/>
          <w:sz w:val="24"/>
          <w:szCs w:val="24"/>
        </w:rPr>
        <w:t>a particular birth cohort</w:t>
      </w:r>
      <w:r w:rsidRPr="00B84387">
        <w:rPr>
          <w:rFonts w:ascii="Times New Roman" w:hAnsi="Times New Roman" w:cs="Times New Roman"/>
          <w:sz w:val="24"/>
          <w:szCs w:val="24"/>
        </w:rPr>
        <w:t>, independent of (i.e., controlling for) period and age effect</w:t>
      </w:r>
      <w:r w:rsidR="002337C3" w:rsidRPr="00B84387">
        <w:rPr>
          <w:rFonts w:ascii="Times New Roman" w:hAnsi="Times New Roman" w:cs="Times New Roman"/>
          <w:sz w:val="24"/>
          <w:szCs w:val="24"/>
        </w:rPr>
        <w:t>s</w:t>
      </w:r>
      <w:r w:rsidRPr="00B84387">
        <w:rPr>
          <w:rFonts w:ascii="Times New Roman" w:hAnsi="Times New Roman" w:cs="Times New Roman"/>
          <w:sz w:val="24"/>
          <w:szCs w:val="24"/>
        </w:rPr>
        <w:t xml:space="preserve">. </w:t>
      </w:r>
      <w:r w:rsidR="00B11090" w:rsidRPr="00B84387">
        <w:rPr>
          <w:rFonts w:ascii="Times New Roman" w:hAnsi="Times New Roman" w:cs="Times New Roman"/>
          <w:sz w:val="24"/>
          <w:szCs w:val="24"/>
        </w:rPr>
        <w:t>Separately, h</w:t>
      </w:r>
      <w:r w:rsidRPr="00B84387">
        <w:rPr>
          <w:rFonts w:ascii="Times New Roman" w:hAnsi="Times New Roman" w:cs="Times New Roman"/>
          <w:sz w:val="24"/>
          <w:szCs w:val="24"/>
        </w:rPr>
        <w:t xml:space="preserve">ierarchical models treat cohort </w:t>
      </w:r>
      <w:r w:rsidR="00B11090" w:rsidRPr="00B84387">
        <w:rPr>
          <w:rFonts w:ascii="Times New Roman" w:hAnsi="Times New Roman" w:cs="Times New Roman"/>
          <w:sz w:val="24"/>
          <w:szCs w:val="24"/>
        </w:rPr>
        <w:t xml:space="preserve">(and period) </w:t>
      </w:r>
      <w:r w:rsidRPr="00B84387">
        <w:rPr>
          <w:rFonts w:ascii="Times New Roman" w:hAnsi="Times New Roman" w:cs="Times New Roman"/>
          <w:sz w:val="24"/>
          <w:szCs w:val="24"/>
        </w:rPr>
        <w:t>effects as environmental</w:t>
      </w:r>
      <w:r w:rsidR="00B11090" w:rsidRPr="00B84387">
        <w:rPr>
          <w:rFonts w:ascii="Times New Roman" w:hAnsi="Times New Roman" w:cs="Times New Roman"/>
          <w:sz w:val="24"/>
          <w:szCs w:val="24"/>
        </w:rPr>
        <w:t xml:space="preserve">, group-level factors </w:t>
      </w:r>
      <w:r w:rsidRPr="00B84387">
        <w:rPr>
          <w:rFonts w:ascii="Times New Roman" w:hAnsi="Times New Roman" w:cs="Times New Roman"/>
          <w:sz w:val="24"/>
          <w:szCs w:val="24"/>
        </w:rPr>
        <w:t xml:space="preserve">exerting macro-level impacts on individual lives. Finally, the Median Polish procedure treats cohort effects as age-specific period effects- that is, the departure of additivity from age and period effects together. We therefore conducted comparative analyses using different APC approaches, with the understanding that divergence </w:t>
      </w:r>
      <w:r w:rsidR="003B779E" w:rsidRPr="00B84387">
        <w:rPr>
          <w:rFonts w:ascii="Times New Roman" w:hAnsi="Times New Roman" w:cs="Times New Roman"/>
          <w:sz w:val="24"/>
          <w:szCs w:val="24"/>
        </w:rPr>
        <w:t xml:space="preserve">does not indicate misspecification of any </w:t>
      </w:r>
      <w:r w:rsidR="005416F4" w:rsidRPr="00B84387">
        <w:rPr>
          <w:rFonts w:ascii="Times New Roman" w:hAnsi="Times New Roman" w:cs="Times New Roman"/>
          <w:sz w:val="24"/>
          <w:szCs w:val="24"/>
        </w:rPr>
        <w:t>given</w:t>
      </w:r>
      <w:r w:rsidR="003B779E" w:rsidRPr="00B84387">
        <w:rPr>
          <w:rFonts w:ascii="Times New Roman" w:hAnsi="Times New Roman" w:cs="Times New Roman"/>
          <w:sz w:val="24"/>
          <w:szCs w:val="24"/>
        </w:rPr>
        <w:t xml:space="preserve"> model</w:t>
      </w:r>
      <w:r w:rsidRPr="00B84387">
        <w:rPr>
          <w:rFonts w:ascii="Times New Roman" w:hAnsi="Times New Roman" w:cs="Times New Roman"/>
          <w:sz w:val="24"/>
          <w:szCs w:val="24"/>
        </w:rPr>
        <w:t xml:space="preserve">. </w:t>
      </w:r>
      <w:r w:rsidR="0090422B" w:rsidRPr="00B84387">
        <w:rPr>
          <w:rFonts w:ascii="Times New Roman" w:hAnsi="Times New Roman" w:cs="Times New Roman"/>
          <w:sz w:val="24"/>
          <w:szCs w:val="24"/>
        </w:rPr>
        <w:t>Finally, we repeated analysis using our original BHAPC specification, treating age as a factor variable as in the IE and MP approaches to facilitate comparison across models.</w:t>
      </w:r>
    </w:p>
    <w:p w14:paraId="305EFA2E" w14:textId="7C9E4714" w:rsidR="00984D14" w:rsidRPr="00B84387" w:rsidRDefault="00323A83" w:rsidP="00AE6F50">
      <w:pPr>
        <w:pStyle w:val="Heading2"/>
        <w:rPr>
          <w:rFonts w:ascii="Times New Roman" w:hAnsi="Times New Roman" w:cs="Times New Roman"/>
          <w:sz w:val="24"/>
          <w:szCs w:val="24"/>
        </w:rPr>
      </w:pPr>
      <w:r w:rsidRPr="00B84387">
        <w:rPr>
          <w:rFonts w:ascii="Times New Roman" w:hAnsi="Times New Roman" w:cs="Times New Roman"/>
          <w:sz w:val="24"/>
          <w:szCs w:val="24"/>
        </w:rPr>
        <w:t>RESULTS</w:t>
      </w:r>
    </w:p>
    <w:p w14:paraId="57DF0847" w14:textId="2AE3A0AA" w:rsidR="00860760" w:rsidRPr="00B84387" w:rsidRDefault="001E5014" w:rsidP="00E00B26">
      <w:pPr>
        <w:ind w:firstLine="720"/>
        <w:rPr>
          <w:rFonts w:ascii="Times New Roman" w:hAnsi="Times New Roman" w:cs="Times New Roman"/>
          <w:sz w:val="24"/>
          <w:szCs w:val="24"/>
        </w:rPr>
      </w:pPr>
      <w:r w:rsidRPr="00B84387">
        <w:rPr>
          <w:rFonts w:ascii="Times New Roman" w:hAnsi="Times New Roman" w:cs="Times New Roman"/>
          <w:sz w:val="24"/>
          <w:szCs w:val="24"/>
        </w:rPr>
        <w:t xml:space="preserve">We analyzed data from </w:t>
      </w:r>
      <w:r w:rsidR="00B85478" w:rsidRPr="00B84387">
        <w:rPr>
          <w:rFonts w:ascii="Times New Roman" w:hAnsi="Times New Roman" w:cs="Times New Roman"/>
          <w:sz w:val="24"/>
          <w:szCs w:val="24"/>
        </w:rPr>
        <w:t>28,991</w:t>
      </w:r>
      <w:r w:rsidRPr="00B84387">
        <w:rPr>
          <w:rFonts w:ascii="Times New Roman" w:hAnsi="Times New Roman" w:cs="Times New Roman"/>
          <w:sz w:val="24"/>
          <w:szCs w:val="24"/>
        </w:rPr>
        <w:t xml:space="preserve"> participants in the 1999-2018 waves of continuous NHANES who provided blood samples during the Mobile Examination Center (MEC) exam and for whom biological aging measures could be calculated. The sample was 49% male and 70% White; mean age at time of survey completion was 5</w:t>
      </w:r>
      <w:r w:rsidR="005E73C2" w:rsidRPr="00B84387">
        <w:rPr>
          <w:rFonts w:ascii="Times New Roman" w:hAnsi="Times New Roman" w:cs="Times New Roman"/>
          <w:sz w:val="24"/>
          <w:szCs w:val="24"/>
        </w:rPr>
        <w:t>0</w:t>
      </w:r>
      <w:r w:rsidRPr="00B84387">
        <w:rPr>
          <w:rFonts w:ascii="Times New Roman" w:hAnsi="Times New Roman" w:cs="Times New Roman"/>
          <w:sz w:val="24"/>
          <w:szCs w:val="24"/>
        </w:rPr>
        <w:t xml:space="preserve"> years (SD=18.</w:t>
      </w:r>
      <w:r w:rsidR="005E73C2" w:rsidRPr="00B84387">
        <w:rPr>
          <w:rFonts w:ascii="Times New Roman" w:hAnsi="Times New Roman" w:cs="Times New Roman"/>
          <w:sz w:val="24"/>
          <w:szCs w:val="24"/>
        </w:rPr>
        <w:t>2</w:t>
      </w:r>
      <w:r w:rsidRPr="00B84387">
        <w:rPr>
          <w:rFonts w:ascii="Times New Roman" w:hAnsi="Times New Roman" w:cs="Times New Roman"/>
          <w:sz w:val="24"/>
          <w:szCs w:val="24"/>
        </w:rPr>
        <w:t>).</w:t>
      </w:r>
      <w:r w:rsidR="005E73C2" w:rsidRPr="00B84387">
        <w:rPr>
          <w:rFonts w:ascii="Times New Roman" w:hAnsi="Times New Roman" w:cs="Times New Roman"/>
          <w:sz w:val="24"/>
          <w:szCs w:val="24"/>
        </w:rPr>
        <w:t xml:space="preserve"> Overall, participants in continuous NHANES were biologically younger than participants in </w:t>
      </w:r>
      <w:r w:rsidR="000D1997" w:rsidRPr="00B84387">
        <w:rPr>
          <w:rFonts w:ascii="Times New Roman" w:hAnsi="Times New Roman" w:cs="Times New Roman"/>
          <w:sz w:val="24"/>
          <w:szCs w:val="24"/>
        </w:rPr>
        <w:t xml:space="preserve">the </w:t>
      </w:r>
      <w:r w:rsidR="005E73C2" w:rsidRPr="00B84387">
        <w:rPr>
          <w:rFonts w:ascii="Times New Roman" w:hAnsi="Times New Roman" w:cs="Times New Roman"/>
          <w:sz w:val="24"/>
          <w:szCs w:val="24"/>
        </w:rPr>
        <w:t xml:space="preserve">NHANES III </w:t>
      </w:r>
      <w:r w:rsidR="000D1997" w:rsidRPr="00B84387">
        <w:rPr>
          <w:rFonts w:ascii="Times New Roman" w:hAnsi="Times New Roman" w:cs="Times New Roman"/>
          <w:sz w:val="24"/>
          <w:szCs w:val="24"/>
        </w:rPr>
        <w:t xml:space="preserve">reference sample </w:t>
      </w:r>
      <w:r w:rsidR="005E73C2" w:rsidRPr="00B84387">
        <w:rPr>
          <w:rFonts w:ascii="Times New Roman" w:hAnsi="Times New Roman" w:cs="Times New Roman"/>
          <w:sz w:val="24"/>
          <w:szCs w:val="24"/>
        </w:rPr>
        <w:t xml:space="preserve">conducted </w:t>
      </w:r>
      <w:r w:rsidR="000D1997" w:rsidRPr="00B84387">
        <w:rPr>
          <w:rFonts w:ascii="Times New Roman" w:hAnsi="Times New Roman" w:cs="Times New Roman"/>
          <w:sz w:val="24"/>
          <w:szCs w:val="24"/>
        </w:rPr>
        <w:t xml:space="preserve">from </w:t>
      </w:r>
      <w:r w:rsidR="005E73C2" w:rsidRPr="00B84387">
        <w:rPr>
          <w:rFonts w:ascii="Times New Roman" w:hAnsi="Times New Roman" w:cs="Times New Roman"/>
          <w:sz w:val="24"/>
          <w:szCs w:val="24"/>
        </w:rPr>
        <w:t>1988-1994</w:t>
      </w:r>
      <w:r w:rsidRPr="00B84387">
        <w:rPr>
          <w:rFonts w:ascii="Times New Roman" w:hAnsi="Times New Roman" w:cs="Times New Roman"/>
          <w:sz w:val="24"/>
          <w:szCs w:val="24"/>
        </w:rPr>
        <w:t xml:space="preserve"> (PhenoAge advancement mean=-3.1, SD=5.3</w:t>
      </w:r>
      <w:r w:rsidR="00E63BC5" w:rsidRPr="00B84387">
        <w:rPr>
          <w:rFonts w:ascii="Times New Roman" w:hAnsi="Times New Roman" w:cs="Times New Roman"/>
          <w:sz w:val="24"/>
          <w:szCs w:val="24"/>
        </w:rPr>
        <w:t>)</w:t>
      </w:r>
      <w:r w:rsidRPr="00B84387">
        <w:rPr>
          <w:rFonts w:ascii="Times New Roman" w:hAnsi="Times New Roman" w:cs="Times New Roman"/>
          <w:sz w:val="24"/>
          <w:szCs w:val="24"/>
        </w:rPr>
        <w:t>. Chronological age was highly correlated with PhenoAge (r=0.96), but only weakly correlated with PhenoAge advancement (r=0.09)</w:t>
      </w:r>
      <w:r w:rsidR="00D54753" w:rsidRPr="00B84387">
        <w:rPr>
          <w:rFonts w:ascii="Times New Roman" w:hAnsi="Times New Roman" w:cs="Times New Roman"/>
          <w:sz w:val="24"/>
          <w:szCs w:val="24"/>
        </w:rPr>
        <w:t xml:space="preserve">, </w:t>
      </w:r>
      <w:bookmarkStart w:id="5" w:name="_Hlk146635037"/>
      <w:r w:rsidR="00D54753" w:rsidRPr="00B84387">
        <w:rPr>
          <w:rFonts w:ascii="Times New Roman" w:hAnsi="Times New Roman" w:cs="Times New Roman"/>
          <w:sz w:val="24"/>
          <w:szCs w:val="24"/>
        </w:rPr>
        <w:t>indicating that effects observed were unlikely to be the artefact of changes in the chronological-age distribution of the population over the study period</w:t>
      </w:r>
      <w:r w:rsidRPr="00B84387">
        <w:rPr>
          <w:rFonts w:ascii="Times New Roman" w:hAnsi="Times New Roman" w:cs="Times New Roman"/>
          <w:sz w:val="24"/>
          <w:szCs w:val="24"/>
        </w:rPr>
        <w:t xml:space="preserve">. </w:t>
      </w:r>
      <w:bookmarkEnd w:id="5"/>
      <w:r w:rsidR="005E73C2" w:rsidRPr="00B84387">
        <w:rPr>
          <w:rFonts w:ascii="Times New Roman" w:hAnsi="Times New Roman" w:cs="Times New Roman"/>
          <w:sz w:val="24"/>
          <w:szCs w:val="24"/>
        </w:rPr>
        <w:t xml:space="preserve">Full participant characteristics are reported in </w:t>
      </w:r>
      <w:r w:rsidR="005E73C2" w:rsidRPr="00B84387">
        <w:rPr>
          <w:rFonts w:ascii="Times New Roman" w:hAnsi="Times New Roman" w:cs="Times New Roman"/>
          <w:b/>
          <w:bCs/>
          <w:sz w:val="24"/>
          <w:szCs w:val="24"/>
        </w:rPr>
        <w:t>Table 1</w:t>
      </w:r>
      <w:r w:rsidR="00E861E0" w:rsidRPr="00B84387">
        <w:rPr>
          <w:rFonts w:ascii="Times New Roman" w:hAnsi="Times New Roman" w:cs="Times New Roman"/>
          <w:sz w:val="24"/>
          <w:szCs w:val="24"/>
        </w:rPr>
        <w:t xml:space="preserve">; cell-sizes for age-by-period contingency tables are reported in the full sample and by race and sex in </w:t>
      </w:r>
      <w:r w:rsidR="00E861E0" w:rsidRPr="00B84387">
        <w:rPr>
          <w:rFonts w:ascii="Times New Roman" w:hAnsi="Times New Roman" w:cs="Times New Roman"/>
          <w:b/>
          <w:bCs/>
          <w:sz w:val="24"/>
          <w:szCs w:val="24"/>
        </w:rPr>
        <w:t>Supplemental Tables A1-A5</w:t>
      </w:r>
      <w:r w:rsidR="005E73C2" w:rsidRPr="00B84387">
        <w:rPr>
          <w:rFonts w:ascii="Times New Roman" w:hAnsi="Times New Roman" w:cs="Times New Roman"/>
          <w:sz w:val="24"/>
          <w:szCs w:val="24"/>
        </w:rPr>
        <w:t>.</w:t>
      </w:r>
    </w:p>
    <w:p w14:paraId="6D0C524E" w14:textId="2269D2B9" w:rsidR="00A128E9" w:rsidRPr="00B84387" w:rsidRDefault="009E73AF" w:rsidP="00E00B26">
      <w:pPr>
        <w:ind w:firstLine="720"/>
        <w:rPr>
          <w:rFonts w:ascii="Times New Roman" w:hAnsi="Times New Roman" w:cs="Times New Roman"/>
          <w:b/>
          <w:bCs/>
          <w:sz w:val="24"/>
          <w:szCs w:val="24"/>
        </w:rPr>
      </w:pPr>
      <w:r w:rsidRPr="00B84387">
        <w:rPr>
          <w:rFonts w:ascii="Times New Roman" w:hAnsi="Times New Roman" w:cs="Times New Roman"/>
          <w:sz w:val="24"/>
          <w:szCs w:val="24"/>
        </w:rPr>
        <w:t xml:space="preserve">These findings </w:t>
      </w:r>
      <w:r w:rsidR="008004FF" w:rsidRPr="00B84387">
        <w:rPr>
          <w:rFonts w:ascii="Times New Roman" w:hAnsi="Times New Roman" w:cs="Times New Roman"/>
          <w:sz w:val="24"/>
          <w:szCs w:val="24"/>
        </w:rPr>
        <w:t>are</w:t>
      </w:r>
      <w:r w:rsidRPr="00B84387">
        <w:rPr>
          <w:rFonts w:ascii="Times New Roman" w:hAnsi="Times New Roman" w:cs="Times New Roman"/>
          <w:sz w:val="24"/>
          <w:szCs w:val="24"/>
        </w:rPr>
        <w:t xml:space="preserve"> partially </w:t>
      </w:r>
      <w:r w:rsidR="00860760" w:rsidRPr="00B84387">
        <w:rPr>
          <w:rFonts w:ascii="Times New Roman" w:hAnsi="Times New Roman" w:cs="Times New Roman"/>
          <w:sz w:val="24"/>
          <w:szCs w:val="24"/>
        </w:rPr>
        <w:t xml:space="preserve">consistent with overall findings from Levine and colleagues, who reported </w:t>
      </w:r>
      <w:r w:rsidR="008004FF" w:rsidRPr="00B84387">
        <w:rPr>
          <w:rFonts w:ascii="Times New Roman" w:hAnsi="Times New Roman" w:cs="Times New Roman"/>
          <w:sz w:val="24"/>
          <w:szCs w:val="24"/>
        </w:rPr>
        <w:t>slower</w:t>
      </w:r>
      <w:r w:rsidR="00860760" w:rsidRPr="00B84387">
        <w:rPr>
          <w:rFonts w:ascii="Times New Roman" w:hAnsi="Times New Roman" w:cs="Times New Roman"/>
          <w:sz w:val="24"/>
          <w:szCs w:val="24"/>
        </w:rPr>
        <w:t xml:space="preserve"> biological ag</w:t>
      </w:r>
      <w:r w:rsidR="008004FF" w:rsidRPr="00B84387">
        <w:rPr>
          <w:rFonts w:ascii="Times New Roman" w:hAnsi="Times New Roman" w:cs="Times New Roman"/>
          <w:sz w:val="24"/>
          <w:szCs w:val="24"/>
        </w:rPr>
        <w:t>ing trajectories in the United States</w:t>
      </w:r>
      <w:r w:rsidR="00860760" w:rsidRPr="00B84387">
        <w:rPr>
          <w:rFonts w:ascii="Times New Roman" w:hAnsi="Times New Roman" w:cs="Times New Roman"/>
          <w:sz w:val="24"/>
          <w:szCs w:val="24"/>
        </w:rPr>
        <w:t xml:space="preserve"> in </w:t>
      </w:r>
      <w:r w:rsidR="0033034C" w:rsidRPr="00B84387">
        <w:rPr>
          <w:rFonts w:ascii="Times New Roman" w:hAnsi="Times New Roman" w:cs="Times New Roman"/>
          <w:sz w:val="24"/>
          <w:szCs w:val="24"/>
        </w:rPr>
        <w:t xml:space="preserve">2007-2010 relative to the early 1990s, </w:t>
      </w:r>
      <w:r w:rsidR="00860760" w:rsidRPr="00B84387">
        <w:rPr>
          <w:rFonts w:ascii="Times New Roman" w:hAnsi="Times New Roman" w:cs="Times New Roman"/>
          <w:sz w:val="24"/>
          <w:szCs w:val="24"/>
        </w:rPr>
        <w:t xml:space="preserve">using the Klemera-Doubal Biological Age measure </w:t>
      </w:r>
      <w:r w:rsidR="000C67A7" w:rsidRPr="00B84387">
        <w:rPr>
          <w:rFonts w:ascii="Times New Roman" w:hAnsi="Times New Roman" w:cs="Times New Roman"/>
          <w:sz w:val="24"/>
          <w:szCs w:val="24"/>
        </w:rPr>
        <w:t>(60)</w:t>
      </w:r>
      <w:r w:rsidR="00860760" w:rsidRPr="00B84387">
        <w:rPr>
          <w:rFonts w:ascii="Times New Roman" w:hAnsi="Times New Roman" w:cs="Times New Roman"/>
          <w:sz w:val="24"/>
          <w:szCs w:val="24"/>
        </w:rPr>
        <w:t xml:space="preserve">. However, </w:t>
      </w:r>
      <w:r w:rsidR="003B5173" w:rsidRPr="00B84387">
        <w:rPr>
          <w:rFonts w:ascii="Times New Roman" w:hAnsi="Times New Roman" w:cs="Times New Roman"/>
          <w:sz w:val="24"/>
          <w:szCs w:val="24"/>
        </w:rPr>
        <w:t xml:space="preserve">we found </w:t>
      </w:r>
      <w:r w:rsidR="003B5173" w:rsidRPr="00B84387">
        <w:rPr>
          <w:rFonts w:ascii="Times New Roman" w:hAnsi="Times New Roman" w:cs="Times New Roman"/>
          <w:sz w:val="24"/>
          <w:szCs w:val="24"/>
        </w:rPr>
        <w:lastRenderedPageBreak/>
        <w:t xml:space="preserve">that </w:t>
      </w:r>
      <w:r w:rsidR="00860760" w:rsidRPr="00B84387">
        <w:rPr>
          <w:rFonts w:ascii="Times New Roman" w:hAnsi="Times New Roman" w:cs="Times New Roman"/>
          <w:sz w:val="24"/>
          <w:szCs w:val="24"/>
        </w:rPr>
        <w:t xml:space="preserve">mean biological-age advancement rose </w:t>
      </w:r>
      <w:r w:rsidR="003B5173" w:rsidRPr="00B84387">
        <w:rPr>
          <w:rFonts w:ascii="Times New Roman" w:hAnsi="Times New Roman" w:cs="Times New Roman"/>
          <w:sz w:val="24"/>
          <w:szCs w:val="24"/>
        </w:rPr>
        <w:t xml:space="preserve">from </w:t>
      </w:r>
      <w:r w:rsidR="00860760" w:rsidRPr="00B84387">
        <w:rPr>
          <w:rFonts w:ascii="Times New Roman" w:hAnsi="Times New Roman" w:cs="Times New Roman"/>
          <w:sz w:val="24"/>
          <w:szCs w:val="24"/>
        </w:rPr>
        <w:t>1999-2018</w:t>
      </w:r>
      <w:r w:rsidR="003B5173" w:rsidRPr="00B84387">
        <w:rPr>
          <w:rFonts w:ascii="Times New Roman" w:hAnsi="Times New Roman" w:cs="Times New Roman"/>
          <w:sz w:val="24"/>
          <w:szCs w:val="24"/>
        </w:rPr>
        <w:t>, approaching NHANES III levels towards the end of the study period</w:t>
      </w:r>
      <w:r w:rsidR="00860760" w:rsidRPr="00B84387">
        <w:rPr>
          <w:rFonts w:ascii="Times New Roman" w:hAnsi="Times New Roman" w:cs="Times New Roman"/>
          <w:sz w:val="24"/>
          <w:szCs w:val="24"/>
        </w:rPr>
        <w:t xml:space="preserve"> (</w:t>
      </w:r>
      <w:r w:rsidR="00860760" w:rsidRPr="00B84387">
        <w:rPr>
          <w:rFonts w:ascii="Times New Roman" w:hAnsi="Times New Roman" w:cs="Times New Roman"/>
          <w:b/>
          <w:bCs/>
          <w:sz w:val="24"/>
          <w:szCs w:val="24"/>
        </w:rPr>
        <w:t>Figure 1</w:t>
      </w:r>
      <w:r w:rsidR="00860760" w:rsidRPr="00B84387">
        <w:rPr>
          <w:rFonts w:ascii="Times New Roman" w:hAnsi="Times New Roman" w:cs="Times New Roman"/>
          <w:sz w:val="24"/>
          <w:szCs w:val="24"/>
        </w:rPr>
        <w:t xml:space="preserve">). </w:t>
      </w:r>
      <w:r w:rsidR="00A128E9" w:rsidRPr="00B84387">
        <w:rPr>
          <w:rFonts w:ascii="Times New Roman" w:hAnsi="Times New Roman" w:cs="Times New Roman"/>
          <w:sz w:val="24"/>
          <w:szCs w:val="24"/>
        </w:rPr>
        <w:t xml:space="preserve">Population aging trajectories appeared to be improving over the 1990s, with </w:t>
      </w:r>
      <w:r w:rsidR="0029595E" w:rsidRPr="00B84387">
        <w:rPr>
          <w:rFonts w:ascii="Times New Roman" w:hAnsi="Times New Roman" w:cs="Times New Roman"/>
          <w:sz w:val="24"/>
          <w:szCs w:val="24"/>
        </w:rPr>
        <w:t xml:space="preserve">biological-age advancement values reaching their lowest point during the </w:t>
      </w:r>
      <w:r w:rsidR="00A128E9" w:rsidRPr="00B84387">
        <w:rPr>
          <w:rFonts w:ascii="Times New Roman" w:hAnsi="Times New Roman" w:cs="Times New Roman"/>
          <w:sz w:val="24"/>
          <w:szCs w:val="24"/>
        </w:rPr>
        <w:t>1999-2002 measurement wave. Then, population aging trajectories appeared to reverse, reverting back to early-1990s levels between 2012 and 2018.</w:t>
      </w:r>
      <w:r w:rsidR="007611C3" w:rsidRPr="00B84387">
        <w:rPr>
          <w:rFonts w:ascii="Times New Roman" w:hAnsi="Times New Roman" w:cs="Times New Roman"/>
          <w:sz w:val="24"/>
          <w:szCs w:val="24"/>
        </w:rPr>
        <w:t xml:space="preserve"> These trends were observable across all race-sex subgroups.</w:t>
      </w:r>
    </w:p>
    <w:p w14:paraId="52AF7E8D" w14:textId="4B7357DC" w:rsidR="009C32E1" w:rsidRPr="00B84387" w:rsidRDefault="001E5014" w:rsidP="00E00B26">
      <w:pPr>
        <w:ind w:firstLine="720"/>
        <w:rPr>
          <w:rFonts w:ascii="Times New Roman" w:hAnsi="Times New Roman" w:cs="Times New Roman"/>
          <w:sz w:val="24"/>
          <w:szCs w:val="24"/>
        </w:rPr>
      </w:pPr>
      <w:r w:rsidRPr="00B84387">
        <w:rPr>
          <w:rFonts w:ascii="Times New Roman" w:hAnsi="Times New Roman" w:cs="Times New Roman"/>
          <w:sz w:val="24"/>
          <w:szCs w:val="24"/>
        </w:rPr>
        <w:t>Preliminary analysis of age, period, and cohort effects was assessed through graphical analysis and comparison of parametric one-, two-, and three-factor models. Graphical analysis revealed weak non-linearity in age effects by measurement wave, with more recent birth cohorts evidencing slightly more advanced biological aging than earlier birth cohorts at the same chronological age (</w:t>
      </w:r>
      <w:r w:rsidRPr="00B84387">
        <w:rPr>
          <w:rFonts w:ascii="Times New Roman" w:hAnsi="Times New Roman" w:cs="Times New Roman"/>
          <w:b/>
          <w:bCs/>
          <w:sz w:val="24"/>
          <w:szCs w:val="24"/>
        </w:rPr>
        <w:t xml:space="preserve">Figure </w:t>
      </w:r>
      <w:r w:rsidR="00860760" w:rsidRPr="00B84387">
        <w:rPr>
          <w:rFonts w:ascii="Times New Roman" w:hAnsi="Times New Roman" w:cs="Times New Roman"/>
          <w:b/>
          <w:bCs/>
          <w:sz w:val="24"/>
          <w:szCs w:val="24"/>
        </w:rPr>
        <w:t>2</w:t>
      </w:r>
      <w:r w:rsidRPr="00B84387">
        <w:rPr>
          <w:rFonts w:ascii="Times New Roman" w:hAnsi="Times New Roman" w:cs="Times New Roman"/>
          <w:sz w:val="24"/>
          <w:szCs w:val="24"/>
        </w:rPr>
        <w:t>). This effect was observable in all race-sex strata, though somewhat more pronounced among White participants. In formal comparison of parametric one-, two-, and three-factor models, the fully-specified three-factor model appeared to fit the data</w:t>
      </w:r>
      <w:r w:rsidR="00DB258E" w:rsidRPr="00B84387">
        <w:rPr>
          <w:rFonts w:ascii="Times New Roman" w:hAnsi="Times New Roman" w:cs="Times New Roman"/>
          <w:sz w:val="24"/>
          <w:szCs w:val="24"/>
        </w:rPr>
        <w:t xml:space="preserve"> </w:t>
      </w:r>
      <w:r w:rsidR="009545F4" w:rsidRPr="00B84387">
        <w:rPr>
          <w:rFonts w:ascii="Times New Roman" w:hAnsi="Times New Roman" w:cs="Times New Roman"/>
          <w:sz w:val="24"/>
          <w:szCs w:val="24"/>
        </w:rPr>
        <w:t xml:space="preserve">somewhat better </w:t>
      </w:r>
      <w:r w:rsidR="00E5774C" w:rsidRPr="00B84387">
        <w:rPr>
          <w:rFonts w:ascii="Times New Roman" w:hAnsi="Times New Roman" w:cs="Times New Roman"/>
          <w:sz w:val="24"/>
          <w:szCs w:val="24"/>
        </w:rPr>
        <w:t>than both two-factor models</w:t>
      </w:r>
      <w:r w:rsidR="009545F4" w:rsidRPr="00B84387">
        <w:rPr>
          <w:rFonts w:ascii="Times New Roman" w:hAnsi="Times New Roman" w:cs="Times New Roman"/>
          <w:sz w:val="24"/>
          <w:szCs w:val="24"/>
        </w:rPr>
        <w:t xml:space="preserve"> </w:t>
      </w:r>
      <w:r w:rsidRPr="00B84387">
        <w:rPr>
          <w:rFonts w:ascii="Times New Roman" w:hAnsi="Times New Roman" w:cs="Times New Roman"/>
          <w:sz w:val="24"/>
          <w:szCs w:val="24"/>
        </w:rPr>
        <w:t>(</w:t>
      </w:r>
      <w:r w:rsidR="00216E26" w:rsidRPr="00B84387">
        <w:rPr>
          <w:rFonts w:ascii="Times New Roman" w:hAnsi="Times New Roman" w:cs="Times New Roman"/>
          <w:sz w:val="24"/>
          <w:szCs w:val="24"/>
        </w:rPr>
        <w:t xml:space="preserve">AC model AIC=85,370; </w:t>
      </w:r>
      <w:r w:rsidRPr="00B84387">
        <w:rPr>
          <w:rFonts w:ascii="Times New Roman" w:hAnsi="Times New Roman" w:cs="Times New Roman"/>
          <w:sz w:val="24"/>
          <w:szCs w:val="24"/>
        </w:rPr>
        <w:t>AP model AIC=</w:t>
      </w:r>
      <w:r w:rsidR="006E6104" w:rsidRPr="00B84387">
        <w:rPr>
          <w:rFonts w:ascii="Times New Roman" w:hAnsi="Times New Roman" w:cs="Times New Roman"/>
          <w:sz w:val="24"/>
          <w:szCs w:val="24"/>
        </w:rPr>
        <w:t>85,324</w:t>
      </w:r>
      <w:r w:rsidRPr="00B84387">
        <w:rPr>
          <w:rFonts w:ascii="Times New Roman" w:hAnsi="Times New Roman" w:cs="Times New Roman"/>
          <w:sz w:val="24"/>
          <w:szCs w:val="24"/>
        </w:rPr>
        <w:t>; APC model AIC=</w:t>
      </w:r>
      <w:r w:rsidR="006E6104" w:rsidRPr="00B84387">
        <w:rPr>
          <w:rFonts w:ascii="Times New Roman" w:hAnsi="Times New Roman" w:cs="Times New Roman"/>
          <w:sz w:val="24"/>
          <w:szCs w:val="24"/>
        </w:rPr>
        <w:t>80,482</w:t>
      </w:r>
      <w:r w:rsidRPr="00B84387">
        <w:rPr>
          <w:rFonts w:ascii="Times New Roman" w:hAnsi="Times New Roman" w:cs="Times New Roman"/>
          <w:sz w:val="24"/>
          <w:szCs w:val="24"/>
        </w:rPr>
        <w:t xml:space="preserve"> (</w:t>
      </w:r>
      <w:r w:rsidR="0050635A" w:rsidRPr="00B84387">
        <w:rPr>
          <w:rFonts w:ascii="Times New Roman" w:hAnsi="Times New Roman" w:cs="Times New Roman"/>
          <w:b/>
          <w:bCs/>
          <w:sz w:val="24"/>
          <w:szCs w:val="24"/>
        </w:rPr>
        <w:t>Supplemental</w:t>
      </w:r>
      <w:r w:rsidR="00892AEF" w:rsidRPr="00B84387">
        <w:rPr>
          <w:rFonts w:ascii="Times New Roman" w:hAnsi="Times New Roman" w:cs="Times New Roman"/>
          <w:b/>
          <w:bCs/>
          <w:sz w:val="24"/>
          <w:szCs w:val="24"/>
        </w:rPr>
        <w:t xml:space="preserve"> Table A6</w:t>
      </w:r>
      <w:r w:rsidRPr="00B84387">
        <w:rPr>
          <w:rFonts w:ascii="Times New Roman" w:hAnsi="Times New Roman" w:cs="Times New Roman"/>
          <w:sz w:val="24"/>
          <w:szCs w:val="24"/>
        </w:rPr>
        <w:t xml:space="preserve">). </w:t>
      </w:r>
      <w:r w:rsidR="004A4245" w:rsidRPr="00B84387">
        <w:rPr>
          <w:rFonts w:ascii="Times New Roman" w:hAnsi="Times New Roman" w:cs="Times New Roman"/>
          <w:sz w:val="24"/>
          <w:szCs w:val="24"/>
        </w:rPr>
        <w:t xml:space="preserve">Because graphical analysis and preliminary model comparison yielded </w:t>
      </w:r>
      <w:r w:rsidR="00E133B2" w:rsidRPr="00B84387">
        <w:rPr>
          <w:rFonts w:ascii="Times New Roman" w:hAnsi="Times New Roman" w:cs="Times New Roman"/>
          <w:sz w:val="24"/>
          <w:szCs w:val="24"/>
        </w:rPr>
        <w:t xml:space="preserve">somewhat </w:t>
      </w:r>
      <w:r w:rsidR="004A4245" w:rsidRPr="00B84387">
        <w:rPr>
          <w:rFonts w:ascii="Times New Roman" w:hAnsi="Times New Roman" w:cs="Times New Roman"/>
          <w:sz w:val="24"/>
          <w:szCs w:val="24"/>
        </w:rPr>
        <w:t xml:space="preserve">ambiguous evidence of cohort effects, we </w:t>
      </w:r>
      <w:r w:rsidRPr="00B84387">
        <w:rPr>
          <w:rFonts w:ascii="Times New Roman" w:hAnsi="Times New Roman" w:cs="Times New Roman"/>
          <w:sz w:val="24"/>
          <w:szCs w:val="24"/>
        </w:rPr>
        <w:t>fitted fully specified three-factor models to explore each of these effects and evaluate potential differences in age, period, and cohort effects by race and sex.</w:t>
      </w:r>
    </w:p>
    <w:p w14:paraId="0C521860" w14:textId="49F5E2E2" w:rsidR="00E86C94" w:rsidRPr="00B84387" w:rsidRDefault="00E86C94" w:rsidP="00AE3377">
      <w:pPr>
        <w:rPr>
          <w:rFonts w:ascii="Times New Roman" w:hAnsi="Times New Roman" w:cs="Times New Roman"/>
          <w:sz w:val="24"/>
          <w:szCs w:val="24"/>
        </w:rPr>
      </w:pPr>
      <w:r w:rsidRPr="00B84387">
        <w:rPr>
          <w:rFonts w:ascii="Times New Roman" w:hAnsi="Times New Roman" w:cs="Times New Roman"/>
          <w:i/>
          <w:iCs/>
          <w:sz w:val="24"/>
          <w:szCs w:val="24"/>
        </w:rPr>
        <w:t>Age effects.</w:t>
      </w:r>
      <w:r w:rsidRPr="00B84387">
        <w:rPr>
          <w:rFonts w:ascii="Times New Roman" w:hAnsi="Times New Roman" w:cs="Times New Roman"/>
          <w:sz w:val="24"/>
          <w:szCs w:val="24"/>
        </w:rPr>
        <w:t xml:space="preserve"> </w:t>
      </w:r>
      <w:r w:rsidR="00EF4D66" w:rsidRPr="00B84387">
        <w:rPr>
          <w:rFonts w:ascii="Times New Roman" w:hAnsi="Times New Roman" w:cs="Times New Roman"/>
          <w:sz w:val="24"/>
          <w:szCs w:val="24"/>
        </w:rPr>
        <w:t xml:space="preserve">Assessment of age effects independent of period and cohort </w:t>
      </w:r>
      <w:r w:rsidR="0069469C" w:rsidRPr="00B84387">
        <w:rPr>
          <w:rFonts w:ascii="Times New Roman" w:hAnsi="Times New Roman" w:cs="Times New Roman"/>
          <w:sz w:val="24"/>
          <w:szCs w:val="24"/>
        </w:rPr>
        <w:t>revealed</w:t>
      </w:r>
      <w:r w:rsidR="0000479C" w:rsidRPr="00B84387">
        <w:rPr>
          <w:rFonts w:ascii="Times New Roman" w:hAnsi="Times New Roman" w:cs="Times New Roman"/>
          <w:sz w:val="24"/>
          <w:szCs w:val="24"/>
        </w:rPr>
        <w:t xml:space="preserve"> small</w:t>
      </w:r>
      <w:r w:rsidR="008A3C4C" w:rsidRPr="00B84387">
        <w:rPr>
          <w:rFonts w:ascii="Times New Roman" w:hAnsi="Times New Roman" w:cs="Times New Roman"/>
          <w:sz w:val="24"/>
          <w:szCs w:val="24"/>
        </w:rPr>
        <w:t xml:space="preserve"> but significant</w:t>
      </w:r>
      <w:r w:rsidR="0000479C" w:rsidRPr="00B84387">
        <w:rPr>
          <w:rFonts w:ascii="Times New Roman" w:hAnsi="Times New Roman" w:cs="Times New Roman"/>
          <w:sz w:val="24"/>
          <w:szCs w:val="24"/>
        </w:rPr>
        <w:t xml:space="preserve"> increases in biological-age advancement alongside chronological age. Comparison of age effects across strata of race and sex also revealed expected social gradients:</w:t>
      </w:r>
      <w:r w:rsidR="00EF4D66" w:rsidRPr="00B84387">
        <w:rPr>
          <w:rFonts w:ascii="Times New Roman" w:hAnsi="Times New Roman" w:cs="Times New Roman"/>
          <w:sz w:val="24"/>
          <w:szCs w:val="24"/>
        </w:rPr>
        <w:t xml:space="preserve"> women evidenced less-advanced biological aging than men, and White participants similarly evidenced less-advanced biological aging than </w:t>
      </w:r>
      <w:r w:rsidR="00E63BC5" w:rsidRPr="00B84387">
        <w:rPr>
          <w:rFonts w:ascii="Times New Roman" w:hAnsi="Times New Roman" w:cs="Times New Roman"/>
          <w:sz w:val="24"/>
          <w:szCs w:val="24"/>
        </w:rPr>
        <w:t>Black participants</w:t>
      </w:r>
      <w:r w:rsidR="007D7C4D" w:rsidRPr="00B84387">
        <w:rPr>
          <w:rFonts w:ascii="Times New Roman" w:hAnsi="Times New Roman" w:cs="Times New Roman"/>
          <w:sz w:val="24"/>
          <w:szCs w:val="24"/>
        </w:rPr>
        <w:t xml:space="preserve"> </w:t>
      </w:r>
      <w:r w:rsidR="0000479C" w:rsidRPr="00B84387">
        <w:rPr>
          <w:rFonts w:ascii="Times New Roman" w:hAnsi="Times New Roman" w:cs="Times New Roman"/>
          <w:sz w:val="24"/>
          <w:szCs w:val="24"/>
        </w:rPr>
        <w:t>across the age range of our sample</w:t>
      </w:r>
      <w:r w:rsidR="00EF4D66" w:rsidRPr="00B84387">
        <w:rPr>
          <w:rFonts w:ascii="Times New Roman" w:hAnsi="Times New Roman" w:cs="Times New Roman"/>
          <w:sz w:val="24"/>
          <w:szCs w:val="24"/>
        </w:rPr>
        <w:t>.</w:t>
      </w:r>
      <w:r w:rsidR="00714CA3" w:rsidRPr="00B84387">
        <w:rPr>
          <w:rFonts w:ascii="Times New Roman" w:hAnsi="Times New Roman" w:cs="Times New Roman"/>
          <w:sz w:val="24"/>
          <w:szCs w:val="24"/>
        </w:rPr>
        <w:t xml:space="preserve"> </w:t>
      </w:r>
      <w:r w:rsidR="0069469C" w:rsidRPr="00B84387">
        <w:rPr>
          <w:rFonts w:ascii="Times New Roman" w:hAnsi="Times New Roman" w:cs="Times New Roman"/>
          <w:sz w:val="24"/>
          <w:szCs w:val="24"/>
        </w:rPr>
        <w:t xml:space="preserve">Observing these social gradients within age effects, rather than period or cohort effects, indicates </w:t>
      </w:r>
      <w:r w:rsidR="00C038F1" w:rsidRPr="00B84387">
        <w:rPr>
          <w:rFonts w:ascii="Times New Roman" w:hAnsi="Times New Roman" w:cs="Times New Roman"/>
          <w:sz w:val="24"/>
          <w:szCs w:val="24"/>
        </w:rPr>
        <w:t xml:space="preserve">the </w:t>
      </w:r>
      <w:r w:rsidR="0069469C" w:rsidRPr="00B84387">
        <w:rPr>
          <w:rFonts w:ascii="Times New Roman" w:hAnsi="Times New Roman" w:cs="Times New Roman"/>
          <w:sz w:val="24"/>
          <w:szCs w:val="24"/>
        </w:rPr>
        <w:t>consisten</w:t>
      </w:r>
      <w:r w:rsidR="00C038F1" w:rsidRPr="00B84387">
        <w:rPr>
          <w:rFonts w:ascii="Times New Roman" w:hAnsi="Times New Roman" w:cs="Times New Roman"/>
          <w:sz w:val="24"/>
          <w:szCs w:val="24"/>
        </w:rPr>
        <w:t>cy of</w:t>
      </w:r>
      <w:r w:rsidR="0069469C" w:rsidRPr="00B84387">
        <w:rPr>
          <w:rFonts w:ascii="Times New Roman" w:hAnsi="Times New Roman" w:cs="Times New Roman"/>
          <w:sz w:val="24"/>
          <w:szCs w:val="24"/>
        </w:rPr>
        <w:t xml:space="preserve"> social gradients across all birth cohorts and measurement waves included in this analysis. </w:t>
      </w:r>
    </w:p>
    <w:p w14:paraId="78932CF1" w14:textId="7DF0884D" w:rsidR="005B2A6F" w:rsidRPr="00B84387" w:rsidRDefault="00E86C94" w:rsidP="00AE3377">
      <w:pPr>
        <w:rPr>
          <w:rFonts w:ascii="Times New Roman" w:hAnsi="Times New Roman" w:cs="Times New Roman"/>
          <w:sz w:val="24"/>
          <w:szCs w:val="24"/>
        </w:rPr>
      </w:pPr>
      <w:r w:rsidRPr="00B84387">
        <w:rPr>
          <w:rFonts w:ascii="Times New Roman" w:hAnsi="Times New Roman" w:cs="Times New Roman"/>
          <w:i/>
          <w:iCs/>
          <w:sz w:val="24"/>
          <w:szCs w:val="24"/>
        </w:rPr>
        <w:t>Period effects.</w:t>
      </w:r>
      <w:r w:rsidRPr="00B84387">
        <w:rPr>
          <w:rFonts w:ascii="Times New Roman" w:hAnsi="Times New Roman" w:cs="Times New Roman"/>
          <w:sz w:val="24"/>
          <w:szCs w:val="24"/>
        </w:rPr>
        <w:t xml:space="preserve"> Significant increases in biological aging </w:t>
      </w:r>
      <w:r w:rsidR="008A3C4C" w:rsidRPr="00B84387">
        <w:rPr>
          <w:rFonts w:ascii="Times New Roman" w:hAnsi="Times New Roman" w:cs="Times New Roman"/>
          <w:sz w:val="24"/>
          <w:szCs w:val="24"/>
        </w:rPr>
        <w:t>were observed across all strata of race and sex</w:t>
      </w:r>
      <w:r w:rsidRPr="00B84387">
        <w:rPr>
          <w:rFonts w:ascii="Times New Roman" w:hAnsi="Times New Roman" w:cs="Times New Roman"/>
          <w:sz w:val="24"/>
          <w:szCs w:val="24"/>
        </w:rPr>
        <w:t xml:space="preserve"> over the study period</w:t>
      </w:r>
      <w:r w:rsidR="008A3C4C" w:rsidRPr="00B84387">
        <w:rPr>
          <w:rFonts w:ascii="Times New Roman" w:hAnsi="Times New Roman" w:cs="Times New Roman"/>
          <w:sz w:val="24"/>
          <w:szCs w:val="24"/>
        </w:rPr>
        <w:t xml:space="preserve">. </w:t>
      </w:r>
      <w:r w:rsidR="00C50A37" w:rsidRPr="00B84387">
        <w:rPr>
          <w:rFonts w:ascii="Times New Roman" w:hAnsi="Times New Roman" w:cs="Times New Roman"/>
          <w:sz w:val="24"/>
          <w:szCs w:val="24"/>
        </w:rPr>
        <w:t xml:space="preserve">Effect-sizes were most negative, indicating </w:t>
      </w:r>
      <w:r w:rsidR="00C528D9" w:rsidRPr="00B84387">
        <w:rPr>
          <w:rFonts w:ascii="Times New Roman" w:hAnsi="Times New Roman" w:cs="Times New Roman"/>
          <w:sz w:val="24"/>
          <w:szCs w:val="24"/>
        </w:rPr>
        <w:t>slower</w:t>
      </w:r>
      <w:r w:rsidR="00CE7AEB" w:rsidRPr="00B84387">
        <w:rPr>
          <w:rFonts w:ascii="Times New Roman" w:hAnsi="Times New Roman" w:cs="Times New Roman"/>
          <w:sz w:val="24"/>
          <w:szCs w:val="24"/>
        </w:rPr>
        <w:t xml:space="preserve"> aging trajectories</w:t>
      </w:r>
      <w:r w:rsidR="00C50A37" w:rsidRPr="00B84387">
        <w:rPr>
          <w:rFonts w:ascii="Times New Roman" w:hAnsi="Times New Roman" w:cs="Times New Roman"/>
          <w:sz w:val="24"/>
          <w:szCs w:val="24"/>
        </w:rPr>
        <w:t>, in the earliest waves of measurement (</w:t>
      </w:r>
      <w:r w:rsidR="008A3C4C" w:rsidRPr="00B84387">
        <w:rPr>
          <w:rFonts w:ascii="Times New Roman" w:hAnsi="Times New Roman" w:cs="Times New Roman"/>
          <w:sz w:val="24"/>
          <w:szCs w:val="24"/>
        </w:rPr>
        <w:t>1999-2002</w:t>
      </w:r>
      <w:r w:rsidR="00C50A37" w:rsidRPr="00B84387">
        <w:rPr>
          <w:rFonts w:ascii="Times New Roman" w:hAnsi="Times New Roman" w:cs="Times New Roman"/>
          <w:sz w:val="24"/>
          <w:szCs w:val="24"/>
        </w:rPr>
        <w:t xml:space="preserve">, </w:t>
      </w:r>
      <w:r w:rsidR="008A3C4C" w:rsidRPr="00B84387">
        <w:rPr>
          <w:rFonts w:ascii="Times New Roman" w:hAnsi="Times New Roman" w:cs="Times New Roman"/>
          <w:sz w:val="24"/>
          <w:szCs w:val="24"/>
        </w:rPr>
        <w:t>race-sex strata ES range</w:t>
      </w:r>
      <w:proofErr w:type="gramStart"/>
      <w:r w:rsidR="008A3C4C" w:rsidRPr="00B84387">
        <w:rPr>
          <w:rFonts w:ascii="Times New Roman" w:hAnsi="Times New Roman" w:cs="Times New Roman"/>
          <w:sz w:val="24"/>
          <w:szCs w:val="24"/>
        </w:rPr>
        <w:t>=[</w:t>
      </w:r>
      <w:proofErr w:type="gramEnd"/>
      <w:r w:rsidR="008A3C4C" w:rsidRPr="00B84387">
        <w:rPr>
          <w:rFonts w:ascii="Times New Roman" w:hAnsi="Times New Roman" w:cs="Times New Roman"/>
          <w:sz w:val="24"/>
          <w:szCs w:val="24"/>
        </w:rPr>
        <w:t>-0.14,-0.09])</w:t>
      </w:r>
      <w:r w:rsidR="00C50A37" w:rsidRPr="00B84387">
        <w:rPr>
          <w:rFonts w:ascii="Times New Roman" w:hAnsi="Times New Roman" w:cs="Times New Roman"/>
          <w:sz w:val="24"/>
          <w:szCs w:val="24"/>
        </w:rPr>
        <w:t xml:space="preserve">. Conversely, effect-sizes were the largest, indicating </w:t>
      </w:r>
      <w:r w:rsidR="00C528D9" w:rsidRPr="00B84387">
        <w:rPr>
          <w:rFonts w:ascii="Times New Roman" w:hAnsi="Times New Roman" w:cs="Times New Roman"/>
          <w:sz w:val="24"/>
          <w:szCs w:val="24"/>
        </w:rPr>
        <w:t>faster biological agin</w:t>
      </w:r>
      <w:r w:rsidR="00CA45AF" w:rsidRPr="00B84387">
        <w:rPr>
          <w:rFonts w:ascii="Times New Roman" w:hAnsi="Times New Roman" w:cs="Times New Roman"/>
          <w:sz w:val="24"/>
          <w:szCs w:val="24"/>
        </w:rPr>
        <w:t>g</w:t>
      </w:r>
      <w:r w:rsidR="00C50A37" w:rsidRPr="00B84387">
        <w:rPr>
          <w:rFonts w:ascii="Times New Roman" w:hAnsi="Times New Roman" w:cs="Times New Roman"/>
          <w:sz w:val="24"/>
          <w:szCs w:val="24"/>
        </w:rPr>
        <w:t>, in the latest waves (</w:t>
      </w:r>
      <w:r w:rsidR="008A3C4C" w:rsidRPr="00B84387">
        <w:rPr>
          <w:rFonts w:ascii="Times New Roman" w:hAnsi="Times New Roman" w:cs="Times New Roman"/>
          <w:sz w:val="24"/>
          <w:szCs w:val="24"/>
        </w:rPr>
        <w:t>2015-2018</w:t>
      </w:r>
      <w:r w:rsidR="00C50A37" w:rsidRPr="00B84387">
        <w:rPr>
          <w:rFonts w:ascii="Times New Roman" w:hAnsi="Times New Roman" w:cs="Times New Roman"/>
          <w:sz w:val="24"/>
          <w:szCs w:val="24"/>
        </w:rPr>
        <w:t xml:space="preserve">, </w:t>
      </w:r>
      <w:r w:rsidR="008A3C4C" w:rsidRPr="00B84387">
        <w:rPr>
          <w:rFonts w:ascii="Times New Roman" w:hAnsi="Times New Roman" w:cs="Times New Roman"/>
          <w:sz w:val="24"/>
          <w:szCs w:val="24"/>
        </w:rPr>
        <w:t>race-sex strata ES range</w:t>
      </w:r>
      <w:proofErr w:type="gramStart"/>
      <w:r w:rsidR="008A3C4C" w:rsidRPr="00B84387">
        <w:rPr>
          <w:rFonts w:ascii="Times New Roman" w:hAnsi="Times New Roman" w:cs="Times New Roman"/>
          <w:sz w:val="24"/>
          <w:szCs w:val="24"/>
        </w:rPr>
        <w:t>=[</w:t>
      </w:r>
      <w:proofErr w:type="gramEnd"/>
      <w:r w:rsidR="008A3C4C" w:rsidRPr="00B84387">
        <w:rPr>
          <w:rFonts w:ascii="Times New Roman" w:hAnsi="Times New Roman" w:cs="Times New Roman"/>
          <w:sz w:val="24"/>
          <w:szCs w:val="24"/>
        </w:rPr>
        <w:t>0.10,0.21]).</w:t>
      </w:r>
      <w:r w:rsidR="00C50A37" w:rsidRPr="00B84387">
        <w:rPr>
          <w:rFonts w:ascii="Times New Roman" w:hAnsi="Times New Roman" w:cs="Times New Roman"/>
          <w:sz w:val="24"/>
          <w:szCs w:val="24"/>
        </w:rPr>
        <w:t xml:space="preserve"> Period </w:t>
      </w:r>
      <w:r w:rsidR="00120149" w:rsidRPr="00B84387">
        <w:rPr>
          <w:rFonts w:ascii="Times New Roman" w:hAnsi="Times New Roman" w:cs="Times New Roman"/>
          <w:sz w:val="24"/>
          <w:szCs w:val="24"/>
        </w:rPr>
        <w:t xml:space="preserve">effects in </w:t>
      </w:r>
      <w:r w:rsidR="00C50A37" w:rsidRPr="00B84387">
        <w:rPr>
          <w:rFonts w:ascii="Times New Roman" w:hAnsi="Times New Roman" w:cs="Times New Roman"/>
          <w:sz w:val="24"/>
          <w:szCs w:val="24"/>
        </w:rPr>
        <w:t xml:space="preserve">biological aging </w:t>
      </w:r>
      <w:r w:rsidR="00120149" w:rsidRPr="00B84387">
        <w:rPr>
          <w:rFonts w:ascii="Times New Roman" w:hAnsi="Times New Roman" w:cs="Times New Roman"/>
          <w:sz w:val="24"/>
          <w:szCs w:val="24"/>
        </w:rPr>
        <w:t xml:space="preserve">increased </w:t>
      </w:r>
      <w:r w:rsidR="00C50A37" w:rsidRPr="00B84387">
        <w:rPr>
          <w:rFonts w:ascii="Times New Roman" w:hAnsi="Times New Roman" w:cs="Times New Roman"/>
          <w:sz w:val="24"/>
          <w:szCs w:val="24"/>
        </w:rPr>
        <w:t xml:space="preserve">from 2003-2007 and consistently from 2011-2018, but dipped between 2007-2011. </w:t>
      </w:r>
      <w:r w:rsidR="001E16AA" w:rsidRPr="00B84387">
        <w:rPr>
          <w:rFonts w:ascii="Times New Roman" w:hAnsi="Times New Roman" w:cs="Times New Roman"/>
          <w:sz w:val="24"/>
          <w:szCs w:val="24"/>
        </w:rPr>
        <w:t>Trends were consistent across strata of race and sex.</w:t>
      </w:r>
    </w:p>
    <w:p w14:paraId="7E6932D1" w14:textId="5E9503FA" w:rsidR="00E63BC5" w:rsidRPr="00B84387" w:rsidRDefault="005B2A6F" w:rsidP="00AE3377">
      <w:pPr>
        <w:rPr>
          <w:rFonts w:ascii="Times New Roman" w:hAnsi="Times New Roman" w:cs="Times New Roman"/>
          <w:sz w:val="24"/>
          <w:szCs w:val="24"/>
        </w:rPr>
      </w:pPr>
      <w:r w:rsidRPr="00B84387">
        <w:rPr>
          <w:rFonts w:ascii="Times New Roman" w:hAnsi="Times New Roman" w:cs="Times New Roman"/>
          <w:i/>
          <w:iCs/>
          <w:sz w:val="24"/>
          <w:szCs w:val="24"/>
        </w:rPr>
        <w:t>Cohort effects.</w:t>
      </w:r>
      <w:r w:rsidRPr="00B84387">
        <w:rPr>
          <w:rFonts w:ascii="Times New Roman" w:hAnsi="Times New Roman" w:cs="Times New Roman"/>
          <w:sz w:val="24"/>
          <w:szCs w:val="24"/>
        </w:rPr>
        <w:t xml:space="preserve"> </w:t>
      </w:r>
      <w:r w:rsidR="00F25C77" w:rsidRPr="00B84387">
        <w:rPr>
          <w:rFonts w:ascii="Times New Roman" w:hAnsi="Times New Roman" w:cs="Times New Roman"/>
          <w:sz w:val="24"/>
          <w:szCs w:val="24"/>
        </w:rPr>
        <w:t>No sustained cohort effects</w:t>
      </w:r>
      <w:r w:rsidR="00714CA3" w:rsidRPr="00B84387">
        <w:rPr>
          <w:rFonts w:ascii="Times New Roman" w:hAnsi="Times New Roman" w:cs="Times New Roman"/>
          <w:sz w:val="24"/>
          <w:szCs w:val="24"/>
        </w:rPr>
        <w:t xml:space="preserve"> </w:t>
      </w:r>
      <w:r w:rsidR="00F25C77" w:rsidRPr="00B84387">
        <w:rPr>
          <w:rFonts w:ascii="Times New Roman" w:hAnsi="Times New Roman" w:cs="Times New Roman"/>
          <w:sz w:val="24"/>
          <w:szCs w:val="24"/>
        </w:rPr>
        <w:t>were observed</w:t>
      </w:r>
      <w:r w:rsidR="003551DB" w:rsidRPr="00B84387">
        <w:rPr>
          <w:rFonts w:ascii="Times New Roman" w:hAnsi="Times New Roman" w:cs="Times New Roman"/>
          <w:sz w:val="24"/>
          <w:szCs w:val="24"/>
        </w:rPr>
        <w:t xml:space="preserve"> in our analysis</w:t>
      </w:r>
      <w:r w:rsidR="00F25C77" w:rsidRPr="00B84387">
        <w:rPr>
          <w:rFonts w:ascii="Times New Roman" w:hAnsi="Times New Roman" w:cs="Times New Roman"/>
          <w:sz w:val="24"/>
          <w:szCs w:val="24"/>
        </w:rPr>
        <w:t>, although greater variation in biological-age advancement across cohorts was observed among White women and Black men relative to White men and Black women.</w:t>
      </w:r>
      <w:r w:rsidR="00146DBE" w:rsidRPr="00B84387">
        <w:rPr>
          <w:rFonts w:ascii="Times New Roman" w:hAnsi="Times New Roman" w:cs="Times New Roman"/>
          <w:sz w:val="24"/>
          <w:szCs w:val="24"/>
        </w:rPr>
        <w:t xml:space="preserve"> </w:t>
      </w:r>
      <w:r w:rsidR="00DE4909" w:rsidRPr="00B84387">
        <w:rPr>
          <w:rFonts w:ascii="Times New Roman" w:hAnsi="Times New Roman" w:cs="Times New Roman"/>
          <w:sz w:val="24"/>
          <w:szCs w:val="24"/>
        </w:rPr>
        <w:t xml:space="preserve">The time trends in biological aging observed in our analysis </w:t>
      </w:r>
      <w:r w:rsidR="001A3009" w:rsidRPr="00B84387">
        <w:rPr>
          <w:rFonts w:ascii="Times New Roman" w:hAnsi="Times New Roman" w:cs="Times New Roman"/>
          <w:sz w:val="24"/>
          <w:szCs w:val="24"/>
        </w:rPr>
        <w:t>were thus largely</w:t>
      </w:r>
      <w:r w:rsidR="00DE4909" w:rsidRPr="00B84387">
        <w:rPr>
          <w:rFonts w:ascii="Times New Roman" w:hAnsi="Times New Roman" w:cs="Times New Roman"/>
          <w:sz w:val="24"/>
          <w:szCs w:val="24"/>
        </w:rPr>
        <w:t xml:space="preserve"> attributable to broad period effects rather than concentrated effects within a specific population group or set of birth cohorts.</w:t>
      </w:r>
      <w:r w:rsidR="009B0E52" w:rsidRPr="00B84387">
        <w:rPr>
          <w:rFonts w:ascii="Times New Roman" w:hAnsi="Times New Roman" w:cs="Times New Roman"/>
          <w:sz w:val="24"/>
          <w:szCs w:val="24"/>
        </w:rPr>
        <w:t xml:space="preserve"> </w:t>
      </w:r>
      <w:r w:rsidR="00146DBE" w:rsidRPr="00B84387">
        <w:rPr>
          <w:rFonts w:ascii="Times New Roman" w:hAnsi="Times New Roman" w:cs="Times New Roman"/>
          <w:sz w:val="24"/>
          <w:szCs w:val="24"/>
        </w:rPr>
        <w:t>Coefficients of the fully specified three-factor APC model</w:t>
      </w:r>
      <w:r w:rsidR="00951A37" w:rsidRPr="00B84387">
        <w:rPr>
          <w:rFonts w:ascii="Times New Roman" w:hAnsi="Times New Roman" w:cs="Times New Roman"/>
          <w:sz w:val="24"/>
          <w:szCs w:val="24"/>
        </w:rPr>
        <w:t>, including age, period, and cohort effects,</w:t>
      </w:r>
      <w:r w:rsidR="00146DBE" w:rsidRPr="00B84387">
        <w:rPr>
          <w:rFonts w:ascii="Times New Roman" w:hAnsi="Times New Roman" w:cs="Times New Roman"/>
          <w:sz w:val="24"/>
          <w:szCs w:val="24"/>
        </w:rPr>
        <w:t xml:space="preserve"> are reported in </w:t>
      </w:r>
      <w:r w:rsidR="00146DBE" w:rsidRPr="00B84387">
        <w:rPr>
          <w:rFonts w:ascii="Times New Roman" w:hAnsi="Times New Roman" w:cs="Times New Roman"/>
          <w:b/>
          <w:bCs/>
          <w:sz w:val="24"/>
          <w:szCs w:val="24"/>
        </w:rPr>
        <w:t xml:space="preserve">Table </w:t>
      </w:r>
      <w:r w:rsidR="002F4B72" w:rsidRPr="00B84387">
        <w:rPr>
          <w:rFonts w:ascii="Times New Roman" w:hAnsi="Times New Roman" w:cs="Times New Roman"/>
          <w:b/>
          <w:bCs/>
          <w:sz w:val="24"/>
          <w:szCs w:val="24"/>
        </w:rPr>
        <w:t>2</w:t>
      </w:r>
      <w:r w:rsidR="00146DBE" w:rsidRPr="00B84387">
        <w:rPr>
          <w:rFonts w:ascii="Times New Roman" w:hAnsi="Times New Roman" w:cs="Times New Roman"/>
          <w:sz w:val="24"/>
          <w:szCs w:val="24"/>
        </w:rPr>
        <w:t xml:space="preserve"> and plotted in </w:t>
      </w:r>
      <w:r w:rsidR="00146DBE" w:rsidRPr="00B84387">
        <w:rPr>
          <w:rFonts w:ascii="Times New Roman" w:hAnsi="Times New Roman" w:cs="Times New Roman"/>
          <w:b/>
          <w:bCs/>
          <w:sz w:val="24"/>
          <w:szCs w:val="24"/>
        </w:rPr>
        <w:t xml:space="preserve">Figure </w:t>
      </w:r>
      <w:r w:rsidR="00860760" w:rsidRPr="00B84387">
        <w:rPr>
          <w:rFonts w:ascii="Times New Roman" w:hAnsi="Times New Roman" w:cs="Times New Roman"/>
          <w:b/>
          <w:bCs/>
          <w:sz w:val="24"/>
          <w:szCs w:val="24"/>
        </w:rPr>
        <w:t>3</w:t>
      </w:r>
      <w:r w:rsidR="00146DBE" w:rsidRPr="00B84387">
        <w:rPr>
          <w:rFonts w:ascii="Times New Roman" w:hAnsi="Times New Roman" w:cs="Times New Roman"/>
          <w:sz w:val="24"/>
          <w:szCs w:val="24"/>
        </w:rPr>
        <w:t>.</w:t>
      </w:r>
    </w:p>
    <w:p w14:paraId="3A2DAC13" w14:textId="23ABA604" w:rsidR="003669E1" w:rsidRPr="00B84387" w:rsidRDefault="003669E1" w:rsidP="003669E1">
      <w:pPr>
        <w:rPr>
          <w:rFonts w:ascii="Times New Roman" w:hAnsi="Times New Roman" w:cs="Times New Roman"/>
          <w:sz w:val="24"/>
          <w:szCs w:val="24"/>
        </w:rPr>
      </w:pPr>
      <w:r w:rsidRPr="00B84387">
        <w:rPr>
          <w:rFonts w:ascii="Times New Roman" w:hAnsi="Times New Roman" w:cs="Times New Roman"/>
          <w:i/>
          <w:iCs/>
          <w:sz w:val="24"/>
          <w:szCs w:val="24"/>
        </w:rPr>
        <w:lastRenderedPageBreak/>
        <w:t>Sensitivity analysis: Alternative APC model specifications.</w:t>
      </w:r>
      <w:r w:rsidRPr="00B84387">
        <w:rPr>
          <w:rFonts w:ascii="Times New Roman" w:hAnsi="Times New Roman" w:cs="Times New Roman"/>
          <w:b/>
          <w:bCs/>
          <w:sz w:val="24"/>
          <w:szCs w:val="24"/>
        </w:rPr>
        <w:t xml:space="preserve"> </w:t>
      </w:r>
      <w:r w:rsidRPr="00B84387">
        <w:rPr>
          <w:rFonts w:ascii="Times New Roman" w:hAnsi="Times New Roman" w:cs="Times New Roman"/>
          <w:sz w:val="24"/>
          <w:szCs w:val="24"/>
        </w:rPr>
        <w:t xml:space="preserve">Results of APC decomposition using Intrinsic Estimator (IE) and Median Polish (MP) approaches are not directly comparable to the Bayesian HAPC specification. </w:t>
      </w:r>
      <w:r w:rsidR="003431BB" w:rsidRPr="00B84387">
        <w:rPr>
          <w:rFonts w:ascii="Times New Roman" w:hAnsi="Times New Roman" w:cs="Times New Roman"/>
          <w:sz w:val="24"/>
          <w:szCs w:val="24"/>
        </w:rPr>
        <w:t>First, b</w:t>
      </w:r>
      <w:r w:rsidRPr="00B84387">
        <w:rPr>
          <w:rFonts w:ascii="Times New Roman" w:hAnsi="Times New Roman" w:cs="Times New Roman"/>
          <w:sz w:val="24"/>
          <w:szCs w:val="24"/>
        </w:rPr>
        <w:t xml:space="preserve">oth the IE and MP fit age as a dummy variable, while our primary BHAPC modelled age as a linear and quadratic term. Second, comparisons </w:t>
      </w:r>
      <w:r w:rsidR="003431BB" w:rsidRPr="00B84387">
        <w:rPr>
          <w:rFonts w:ascii="Times New Roman" w:hAnsi="Times New Roman" w:cs="Times New Roman"/>
          <w:sz w:val="24"/>
          <w:szCs w:val="24"/>
        </w:rPr>
        <w:t xml:space="preserve">across categories of race and sex </w:t>
      </w:r>
      <w:r w:rsidRPr="00B84387">
        <w:rPr>
          <w:rFonts w:ascii="Times New Roman" w:hAnsi="Times New Roman" w:cs="Times New Roman"/>
          <w:sz w:val="24"/>
          <w:szCs w:val="24"/>
        </w:rPr>
        <w:t xml:space="preserve">are somewhat more limited in IE and MP approaches, as all effects are zero-anchored to a reference category within the stratified model. However, visual comparison of age, period, and cohort trends over time revealed some commonalities: across all models, significant increases in biological aging were observed after 2007, with limited evidence of cohort effects in the full population or any race-sex stratum. Full results of the IE and MP specification are available in </w:t>
      </w:r>
      <w:r w:rsidRPr="00B84387">
        <w:rPr>
          <w:rFonts w:ascii="Times New Roman" w:hAnsi="Times New Roman" w:cs="Times New Roman"/>
          <w:b/>
          <w:bCs/>
          <w:sz w:val="24"/>
          <w:szCs w:val="24"/>
        </w:rPr>
        <w:t xml:space="preserve">Supplemental Tables and Figures B1 &amp; B2. </w:t>
      </w:r>
      <w:r w:rsidRPr="00B84387">
        <w:rPr>
          <w:rFonts w:ascii="Times New Roman" w:hAnsi="Times New Roman" w:cs="Times New Roman"/>
          <w:sz w:val="24"/>
          <w:szCs w:val="24"/>
        </w:rPr>
        <w:t xml:space="preserve">Results of BHAPC analysis specifying age as a factor variable yielded similar results to our primary analysis; results are available in </w:t>
      </w:r>
      <w:r w:rsidRPr="00B84387">
        <w:rPr>
          <w:rFonts w:ascii="Times New Roman" w:hAnsi="Times New Roman" w:cs="Times New Roman"/>
          <w:b/>
          <w:bCs/>
          <w:sz w:val="24"/>
          <w:szCs w:val="24"/>
        </w:rPr>
        <w:t>Supplemental Table and Figure B3</w:t>
      </w:r>
      <w:r w:rsidRPr="00B84387">
        <w:rPr>
          <w:rFonts w:ascii="Times New Roman" w:hAnsi="Times New Roman" w:cs="Times New Roman"/>
          <w:sz w:val="24"/>
          <w:szCs w:val="24"/>
        </w:rPr>
        <w:t>.</w:t>
      </w:r>
    </w:p>
    <w:p w14:paraId="1C8ABFDB" w14:textId="55366E01" w:rsidR="00D22AA4" w:rsidRPr="00B84387" w:rsidRDefault="00E63BC5" w:rsidP="00A5103A">
      <w:pPr>
        <w:rPr>
          <w:rFonts w:ascii="Times New Roman" w:hAnsi="Times New Roman" w:cs="Times New Roman"/>
          <w:sz w:val="24"/>
          <w:szCs w:val="24"/>
        </w:rPr>
      </w:pPr>
      <w:r w:rsidRPr="00B84387">
        <w:rPr>
          <w:rFonts w:ascii="Times New Roman" w:hAnsi="Times New Roman" w:cs="Times New Roman"/>
          <w:i/>
          <w:iCs/>
          <w:sz w:val="24"/>
          <w:szCs w:val="24"/>
        </w:rPr>
        <w:t xml:space="preserve">Sensitivity </w:t>
      </w:r>
      <w:r w:rsidR="00695FAF" w:rsidRPr="00B84387">
        <w:rPr>
          <w:rFonts w:ascii="Times New Roman" w:hAnsi="Times New Roman" w:cs="Times New Roman"/>
          <w:i/>
          <w:iCs/>
          <w:sz w:val="24"/>
          <w:szCs w:val="24"/>
        </w:rPr>
        <w:t>a</w:t>
      </w:r>
      <w:r w:rsidRPr="00B84387">
        <w:rPr>
          <w:rFonts w:ascii="Times New Roman" w:hAnsi="Times New Roman" w:cs="Times New Roman"/>
          <w:i/>
          <w:iCs/>
          <w:sz w:val="24"/>
          <w:szCs w:val="24"/>
        </w:rPr>
        <w:t>nalys</w:t>
      </w:r>
      <w:r w:rsidR="00695FAF" w:rsidRPr="00B84387">
        <w:rPr>
          <w:rFonts w:ascii="Times New Roman" w:hAnsi="Times New Roman" w:cs="Times New Roman"/>
          <w:i/>
          <w:iCs/>
          <w:sz w:val="24"/>
          <w:szCs w:val="24"/>
        </w:rPr>
        <w:t>i</w:t>
      </w:r>
      <w:r w:rsidRPr="00B84387">
        <w:rPr>
          <w:rFonts w:ascii="Times New Roman" w:hAnsi="Times New Roman" w:cs="Times New Roman"/>
          <w:i/>
          <w:iCs/>
          <w:sz w:val="24"/>
          <w:szCs w:val="24"/>
        </w:rPr>
        <w:t>s</w:t>
      </w:r>
      <w:r w:rsidR="00695FAF" w:rsidRPr="00B84387">
        <w:rPr>
          <w:rFonts w:ascii="Times New Roman" w:hAnsi="Times New Roman" w:cs="Times New Roman"/>
          <w:i/>
          <w:iCs/>
          <w:sz w:val="24"/>
          <w:szCs w:val="24"/>
        </w:rPr>
        <w:t>: Alternative measures of biological aging</w:t>
      </w:r>
      <w:r w:rsidRPr="00B84387">
        <w:rPr>
          <w:rFonts w:ascii="Times New Roman" w:hAnsi="Times New Roman" w:cs="Times New Roman"/>
          <w:i/>
          <w:iCs/>
          <w:sz w:val="24"/>
          <w:szCs w:val="24"/>
        </w:rPr>
        <w:t>.</w:t>
      </w:r>
      <w:r w:rsidR="00F544EC" w:rsidRPr="00B84387">
        <w:rPr>
          <w:rFonts w:ascii="Times New Roman" w:hAnsi="Times New Roman" w:cs="Times New Roman"/>
          <w:b/>
          <w:bCs/>
          <w:sz w:val="24"/>
          <w:szCs w:val="24"/>
        </w:rPr>
        <w:t xml:space="preserve"> </w:t>
      </w:r>
      <w:r w:rsidRPr="00B84387">
        <w:rPr>
          <w:rFonts w:ascii="Times New Roman" w:hAnsi="Times New Roman" w:cs="Times New Roman"/>
          <w:sz w:val="24"/>
          <w:szCs w:val="24"/>
        </w:rPr>
        <w:t xml:space="preserve">PhenoAge was moderately correlated with </w:t>
      </w:r>
      <w:r w:rsidR="00AF5FE6" w:rsidRPr="00B84387">
        <w:rPr>
          <w:rFonts w:ascii="Times New Roman" w:hAnsi="Times New Roman" w:cs="Times New Roman"/>
          <w:sz w:val="24"/>
          <w:szCs w:val="24"/>
        </w:rPr>
        <w:t xml:space="preserve">an </w:t>
      </w:r>
      <w:r w:rsidRPr="00B84387">
        <w:rPr>
          <w:rFonts w:ascii="Times New Roman" w:hAnsi="Times New Roman" w:cs="Times New Roman"/>
          <w:sz w:val="24"/>
          <w:szCs w:val="24"/>
        </w:rPr>
        <w:t>alternative measure of biological aging</w:t>
      </w:r>
      <w:r w:rsidR="00AF5FE6" w:rsidRPr="00B84387">
        <w:rPr>
          <w:rFonts w:ascii="Times New Roman" w:hAnsi="Times New Roman" w:cs="Times New Roman"/>
          <w:sz w:val="24"/>
          <w:szCs w:val="24"/>
        </w:rPr>
        <w:t xml:space="preserve">, Homeostatic </w:t>
      </w:r>
      <w:r w:rsidR="00BA0A9D" w:rsidRPr="00B84387">
        <w:rPr>
          <w:rFonts w:ascii="Times New Roman" w:hAnsi="Times New Roman" w:cs="Times New Roman"/>
          <w:sz w:val="24"/>
          <w:szCs w:val="24"/>
        </w:rPr>
        <w:t>D</w:t>
      </w:r>
      <w:r w:rsidR="00AF5FE6" w:rsidRPr="00B84387">
        <w:rPr>
          <w:rFonts w:ascii="Times New Roman" w:hAnsi="Times New Roman" w:cs="Times New Roman"/>
          <w:sz w:val="24"/>
          <w:szCs w:val="24"/>
        </w:rPr>
        <w:t>ysregulation</w:t>
      </w:r>
      <w:r w:rsidRPr="00B84387">
        <w:rPr>
          <w:rFonts w:ascii="Times New Roman" w:hAnsi="Times New Roman" w:cs="Times New Roman"/>
          <w:sz w:val="24"/>
          <w:szCs w:val="24"/>
        </w:rPr>
        <w:t xml:space="preserve"> (</w:t>
      </w:r>
      <w:r w:rsidR="00AF5FE6" w:rsidRPr="00B84387">
        <w:rPr>
          <w:rFonts w:ascii="Times New Roman" w:hAnsi="Times New Roman" w:cs="Times New Roman"/>
          <w:sz w:val="24"/>
          <w:szCs w:val="24"/>
        </w:rPr>
        <w:t>r=0.52</w:t>
      </w:r>
      <w:r w:rsidR="00A710EC" w:rsidRPr="00B84387">
        <w:rPr>
          <w:rFonts w:ascii="Times New Roman" w:hAnsi="Times New Roman" w:cs="Times New Roman"/>
          <w:sz w:val="24"/>
          <w:szCs w:val="24"/>
        </w:rPr>
        <w:t>,</w:t>
      </w:r>
      <w:r w:rsidRPr="00B84387">
        <w:rPr>
          <w:rFonts w:ascii="Times New Roman" w:hAnsi="Times New Roman" w:cs="Times New Roman"/>
          <w:sz w:val="24"/>
          <w:szCs w:val="24"/>
        </w:rPr>
        <w:t xml:space="preserve"> </w:t>
      </w:r>
      <w:r w:rsidR="003E17F5" w:rsidRPr="00B84387">
        <w:rPr>
          <w:rFonts w:ascii="Times New Roman" w:hAnsi="Times New Roman" w:cs="Times New Roman"/>
          <w:b/>
          <w:bCs/>
          <w:sz w:val="24"/>
          <w:szCs w:val="24"/>
        </w:rPr>
        <w:t>Methods Supplement</w:t>
      </w:r>
      <w:r w:rsidR="003E17F5" w:rsidRPr="00B84387">
        <w:rPr>
          <w:rFonts w:ascii="Times New Roman" w:hAnsi="Times New Roman" w:cs="Times New Roman"/>
          <w:sz w:val="24"/>
          <w:szCs w:val="24"/>
        </w:rPr>
        <w:t>).</w:t>
      </w:r>
      <w:r w:rsidR="00AF5FE6" w:rsidRPr="00B84387">
        <w:rPr>
          <w:rFonts w:ascii="Times New Roman" w:hAnsi="Times New Roman" w:cs="Times New Roman"/>
          <w:b/>
          <w:bCs/>
          <w:sz w:val="24"/>
          <w:szCs w:val="24"/>
        </w:rPr>
        <w:t xml:space="preserve"> </w:t>
      </w:r>
      <w:r w:rsidR="00BA0A9D" w:rsidRPr="00B84387">
        <w:rPr>
          <w:rFonts w:ascii="Times New Roman" w:hAnsi="Times New Roman" w:cs="Times New Roman"/>
          <w:sz w:val="24"/>
          <w:szCs w:val="24"/>
        </w:rPr>
        <w:t xml:space="preserve">Homeostatic </w:t>
      </w:r>
      <w:r w:rsidR="00122462" w:rsidRPr="00B84387">
        <w:rPr>
          <w:rFonts w:ascii="Times New Roman" w:hAnsi="Times New Roman" w:cs="Times New Roman"/>
          <w:sz w:val="24"/>
          <w:szCs w:val="24"/>
        </w:rPr>
        <w:t>D</w:t>
      </w:r>
      <w:r w:rsidR="00BA0A9D" w:rsidRPr="00B84387">
        <w:rPr>
          <w:rFonts w:ascii="Times New Roman" w:hAnsi="Times New Roman" w:cs="Times New Roman"/>
          <w:sz w:val="24"/>
          <w:szCs w:val="24"/>
        </w:rPr>
        <w:t xml:space="preserve">ysregulation. </w:t>
      </w:r>
      <w:r w:rsidR="00E56519" w:rsidRPr="00B84387">
        <w:rPr>
          <w:rFonts w:ascii="Times New Roman" w:hAnsi="Times New Roman" w:cs="Times New Roman"/>
          <w:sz w:val="24"/>
          <w:szCs w:val="24"/>
        </w:rPr>
        <w:t>In contrast to PhenoAge advancement, which decreased from NHANES III to the early waves of continuous NHANES, Homeostatic Dysregulation appeared to increase in the entire population from 1990 to 1999, with continued increases among Black Americans and levelling off among White Americans thereafter</w:t>
      </w:r>
      <w:r w:rsidR="00E17031" w:rsidRPr="00B84387">
        <w:rPr>
          <w:rFonts w:ascii="Times New Roman" w:hAnsi="Times New Roman" w:cs="Times New Roman"/>
          <w:sz w:val="24"/>
          <w:szCs w:val="24"/>
        </w:rPr>
        <w:t xml:space="preserve"> (</w:t>
      </w:r>
      <w:r w:rsidR="00E17031" w:rsidRPr="00B84387">
        <w:rPr>
          <w:rFonts w:ascii="Times New Roman" w:hAnsi="Times New Roman" w:cs="Times New Roman"/>
          <w:b/>
          <w:bCs/>
          <w:sz w:val="24"/>
          <w:szCs w:val="24"/>
        </w:rPr>
        <w:t>Supplemental Figure A5</w:t>
      </w:r>
      <w:r w:rsidR="00E17031" w:rsidRPr="00B84387">
        <w:rPr>
          <w:rFonts w:ascii="Times New Roman" w:hAnsi="Times New Roman" w:cs="Times New Roman"/>
          <w:sz w:val="24"/>
          <w:szCs w:val="24"/>
        </w:rPr>
        <w:t>)</w:t>
      </w:r>
      <w:r w:rsidR="00E56519" w:rsidRPr="00B84387">
        <w:rPr>
          <w:rFonts w:ascii="Times New Roman" w:hAnsi="Times New Roman" w:cs="Times New Roman"/>
          <w:sz w:val="24"/>
          <w:szCs w:val="24"/>
        </w:rPr>
        <w:t xml:space="preserve">. </w:t>
      </w:r>
      <w:r w:rsidR="00323A28" w:rsidRPr="00B84387">
        <w:rPr>
          <w:rFonts w:ascii="Times New Roman" w:hAnsi="Times New Roman" w:cs="Times New Roman"/>
          <w:sz w:val="24"/>
          <w:szCs w:val="24"/>
        </w:rPr>
        <w:t>R</w:t>
      </w:r>
      <w:r w:rsidR="00AF5FE6" w:rsidRPr="00B84387">
        <w:rPr>
          <w:rFonts w:ascii="Times New Roman" w:hAnsi="Times New Roman" w:cs="Times New Roman"/>
          <w:sz w:val="24"/>
          <w:szCs w:val="24"/>
        </w:rPr>
        <w:t xml:space="preserve">esults of comparative analysis </w:t>
      </w:r>
      <w:r w:rsidR="003431BB" w:rsidRPr="00B84387">
        <w:rPr>
          <w:rFonts w:ascii="Times New Roman" w:hAnsi="Times New Roman" w:cs="Times New Roman"/>
          <w:sz w:val="24"/>
          <w:szCs w:val="24"/>
        </w:rPr>
        <w:t>using alternative APC model</w:t>
      </w:r>
      <w:r w:rsidR="00323A28" w:rsidRPr="00B84387">
        <w:rPr>
          <w:rFonts w:ascii="Times New Roman" w:hAnsi="Times New Roman" w:cs="Times New Roman"/>
          <w:sz w:val="24"/>
          <w:szCs w:val="24"/>
        </w:rPr>
        <w:t>ling approaches</w:t>
      </w:r>
      <w:r w:rsidR="003431BB" w:rsidRPr="00B84387">
        <w:rPr>
          <w:rFonts w:ascii="Times New Roman" w:hAnsi="Times New Roman" w:cs="Times New Roman"/>
          <w:sz w:val="24"/>
          <w:szCs w:val="24"/>
        </w:rPr>
        <w:t xml:space="preserve"> </w:t>
      </w:r>
      <w:r w:rsidR="00AF5FE6" w:rsidRPr="00B84387">
        <w:rPr>
          <w:rFonts w:ascii="Times New Roman" w:hAnsi="Times New Roman" w:cs="Times New Roman"/>
          <w:sz w:val="24"/>
          <w:szCs w:val="24"/>
        </w:rPr>
        <w:t xml:space="preserve">yielded broadly similar directional patterning, although the relative magnitude of period and cohort effects differed </w:t>
      </w:r>
      <w:r w:rsidR="00326272" w:rsidRPr="00B84387">
        <w:rPr>
          <w:rFonts w:ascii="Times New Roman" w:hAnsi="Times New Roman" w:cs="Times New Roman"/>
          <w:sz w:val="24"/>
          <w:szCs w:val="24"/>
        </w:rPr>
        <w:t>(</w:t>
      </w:r>
      <w:r w:rsidR="00B73B8D" w:rsidRPr="00B84387">
        <w:rPr>
          <w:rFonts w:ascii="Times New Roman" w:hAnsi="Times New Roman" w:cs="Times New Roman"/>
          <w:b/>
          <w:bCs/>
          <w:sz w:val="24"/>
          <w:szCs w:val="24"/>
        </w:rPr>
        <w:t>Supplemental Table</w:t>
      </w:r>
      <w:r w:rsidR="00282022" w:rsidRPr="00B84387">
        <w:rPr>
          <w:rFonts w:ascii="Times New Roman" w:hAnsi="Times New Roman" w:cs="Times New Roman"/>
          <w:b/>
          <w:bCs/>
          <w:sz w:val="24"/>
          <w:szCs w:val="24"/>
        </w:rPr>
        <w:t xml:space="preserve"> and </w:t>
      </w:r>
      <w:r w:rsidR="00B73B8D" w:rsidRPr="00B84387">
        <w:rPr>
          <w:rFonts w:ascii="Times New Roman" w:hAnsi="Times New Roman" w:cs="Times New Roman"/>
          <w:b/>
          <w:bCs/>
          <w:sz w:val="24"/>
          <w:szCs w:val="24"/>
        </w:rPr>
        <w:t>Figure B</w:t>
      </w:r>
      <w:r w:rsidR="003B18D5" w:rsidRPr="00B84387">
        <w:rPr>
          <w:rFonts w:ascii="Times New Roman" w:hAnsi="Times New Roman" w:cs="Times New Roman"/>
          <w:b/>
          <w:bCs/>
          <w:sz w:val="24"/>
          <w:szCs w:val="24"/>
        </w:rPr>
        <w:t>4</w:t>
      </w:r>
      <w:r w:rsidR="00326272" w:rsidRPr="00B84387">
        <w:rPr>
          <w:rFonts w:ascii="Times New Roman" w:hAnsi="Times New Roman" w:cs="Times New Roman"/>
          <w:sz w:val="24"/>
          <w:szCs w:val="24"/>
        </w:rPr>
        <w:t xml:space="preserve">). </w:t>
      </w:r>
      <w:r w:rsidR="006C0AFE" w:rsidRPr="00B84387">
        <w:rPr>
          <w:rFonts w:ascii="Times New Roman" w:hAnsi="Times New Roman" w:cs="Times New Roman"/>
          <w:sz w:val="24"/>
          <w:szCs w:val="24"/>
        </w:rPr>
        <w:t xml:space="preserve">Expected age </w:t>
      </w:r>
      <w:r w:rsidR="00A65A56" w:rsidRPr="00B84387">
        <w:rPr>
          <w:rFonts w:ascii="Times New Roman" w:hAnsi="Times New Roman" w:cs="Times New Roman"/>
          <w:sz w:val="24"/>
          <w:szCs w:val="24"/>
        </w:rPr>
        <w:t xml:space="preserve">patterning by race and sex were </w:t>
      </w:r>
      <w:r w:rsidR="006C0AFE" w:rsidRPr="00B84387">
        <w:rPr>
          <w:rFonts w:ascii="Times New Roman" w:hAnsi="Times New Roman" w:cs="Times New Roman"/>
          <w:sz w:val="24"/>
          <w:szCs w:val="24"/>
        </w:rPr>
        <w:t>again</w:t>
      </w:r>
      <w:r w:rsidR="00A65A56" w:rsidRPr="00B84387">
        <w:rPr>
          <w:rFonts w:ascii="Times New Roman" w:hAnsi="Times New Roman" w:cs="Times New Roman"/>
          <w:sz w:val="24"/>
          <w:szCs w:val="24"/>
        </w:rPr>
        <w:t xml:space="preserve"> evident</w:t>
      </w:r>
      <w:r w:rsidR="006E03B5" w:rsidRPr="00B84387">
        <w:rPr>
          <w:rFonts w:ascii="Times New Roman" w:hAnsi="Times New Roman" w:cs="Times New Roman"/>
          <w:sz w:val="24"/>
          <w:szCs w:val="24"/>
        </w:rPr>
        <w:t xml:space="preserve"> and effect-sizes were comparable</w:t>
      </w:r>
      <w:r w:rsidR="00A65A56" w:rsidRPr="00B84387">
        <w:rPr>
          <w:rFonts w:ascii="Times New Roman" w:hAnsi="Times New Roman" w:cs="Times New Roman"/>
          <w:sz w:val="24"/>
          <w:szCs w:val="24"/>
        </w:rPr>
        <w:t xml:space="preserve">. </w:t>
      </w:r>
      <w:r w:rsidR="00AA25BF" w:rsidRPr="00B84387">
        <w:rPr>
          <w:rFonts w:ascii="Times New Roman" w:hAnsi="Times New Roman" w:cs="Times New Roman"/>
          <w:sz w:val="24"/>
          <w:szCs w:val="24"/>
        </w:rPr>
        <w:t>Period effects were attenuated</w:t>
      </w:r>
      <w:r w:rsidR="006E03B5" w:rsidRPr="00B84387">
        <w:rPr>
          <w:rFonts w:ascii="Times New Roman" w:hAnsi="Times New Roman" w:cs="Times New Roman"/>
          <w:sz w:val="24"/>
          <w:szCs w:val="24"/>
        </w:rPr>
        <w:t xml:space="preserve"> and did not reach statistical significance</w:t>
      </w:r>
      <w:r w:rsidR="00217D92" w:rsidRPr="00B84387">
        <w:rPr>
          <w:rFonts w:ascii="Times New Roman" w:hAnsi="Times New Roman" w:cs="Times New Roman"/>
          <w:sz w:val="24"/>
          <w:szCs w:val="24"/>
        </w:rPr>
        <w:t>, likely because time trends in biological aging were less evident overall using the Homeostatic Dysregulation measure</w:t>
      </w:r>
      <w:r w:rsidR="00943C18" w:rsidRPr="00B84387">
        <w:rPr>
          <w:rFonts w:ascii="Times New Roman" w:hAnsi="Times New Roman" w:cs="Times New Roman"/>
          <w:sz w:val="24"/>
          <w:szCs w:val="24"/>
        </w:rPr>
        <w:t>.</w:t>
      </w:r>
      <w:r w:rsidR="006E03B5" w:rsidRPr="00B84387">
        <w:rPr>
          <w:rFonts w:ascii="Times New Roman" w:hAnsi="Times New Roman" w:cs="Times New Roman"/>
          <w:sz w:val="24"/>
          <w:szCs w:val="24"/>
        </w:rPr>
        <w:t xml:space="preserve"> </w:t>
      </w:r>
      <w:r w:rsidR="00A65A56" w:rsidRPr="00B84387">
        <w:rPr>
          <w:rFonts w:ascii="Times New Roman" w:hAnsi="Times New Roman" w:cs="Times New Roman"/>
          <w:sz w:val="24"/>
          <w:szCs w:val="24"/>
        </w:rPr>
        <w:t xml:space="preserve">Cohort effects </w:t>
      </w:r>
      <w:r w:rsidR="00961145" w:rsidRPr="00B84387">
        <w:rPr>
          <w:rFonts w:ascii="Times New Roman" w:hAnsi="Times New Roman" w:cs="Times New Roman"/>
          <w:sz w:val="24"/>
          <w:szCs w:val="24"/>
        </w:rPr>
        <w:t>suggested</w:t>
      </w:r>
      <w:r w:rsidR="00A65A56" w:rsidRPr="00B84387">
        <w:rPr>
          <w:rFonts w:ascii="Times New Roman" w:hAnsi="Times New Roman" w:cs="Times New Roman"/>
          <w:sz w:val="24"/>
          <w:szCs w:val="24"/>
        </w:rPr>
        <w:t xml:space="preserve"> of more advanced biological aging among the 1963-1974 birth cohorts</w:t>
      </w:r>
      <w:r w:rsidR="00152EE5" w:rsidRPr="00B84387">
        <w:rPr>
          <w:rFonts w:ascii="Times New Roman" w:hAnsi="Times New Roman" w:cs="Times New Roman"/>
          <w:sz w:val="24"/>
          <w:szCs w:val="24"/>
        </w:rPr>
        <w:t xml:space="preserve"> in White women</w:t>
      </w:r>
      <w:r w:rsidR="00A65A56" w:rsidRPr="00B84387">
        <w:rPr>
          <w:rFonts w:ascii="Times New Roman" w:hAnsi="Times New Roman" w:cs="Times New Roman"/>
          <w:sz w:val="24"/>
          <w:szCs w:val="24"/>
        </w:rPr>
        <w:t xml:space="preserve">. While </w:t>
      </w:r>
      <w:r w:rsidR="00152EE5" w:rsidRPr="00B84387">
        <w:rPr>
          <w:rFonts w:ascii="Times New Roman" w:hAnsi="Times New Roman" w:cs="Times New Roman"/>
          <w:sz w:val="24"/>
          <w:szCs w:val="24"/>
        </w:rPr>
        <w:t xml:space="preserve">this </w:t>
      </w:r>
      <w:r w:rsidR="00A65A56" w:rsidRPr="00B84387">
        <w:rPr>
          <w:rFonts w:ascii="Times New Roman" w:hAnsi="Times New Roman" w:cs="Times New Roman"/>
          <w:sz w:val="24"/>
          <w:szCs w:val="24"/>
        </w:rPr>
        <w:t>trend w</w:t>
      </w:r>
      <w:r w:rsidR="00152EE5" w:rsidRPr="00B84387">
        <w:rPr>
          <w:rFonts w:ascii="Times New Roman" w:hAnsi="Times New Roman" w:cs="Times New Roman"/>
          <w:sz w:val="24"/>
          <w:szCs w:val="24"/>
        </w:rPr>
        <w:t>as also</w:t>
      </w:r>
      <w:r w:rsidR="00A65A56" w:rsidRPr="00B84387">
        <w:rPr>
          <w:rFonts w:ascii="Times New Roman" w:hAnsi="Times New Roman" w:cs="Times New Roman"/>
          <w:sz w:val="24"/>
          <w:szCs w:val="24"/>
        </w:rPr>
        <w:t xml:space="preserve"> observable in analysis of the primary PhenoAge measure, </w:t>
      </w:r>
      <w:r w:rsidR="00152EE5" w:rsidRPr="00B84387">
        <w:rPr>
          <w:rFonts w:ascii="Times New Roman" w:hAnsi="Times New Roman" w:cs="Times New Roman"/>
          <w:sz w:val="24"/>
          <w:szCs w:val="24"/>
        </w:rPr>
        <w:t>the coefficients</w:t>
      </w:r>
      <w:r w:rsidR="00A65A56" w:rsidRPr="00B84387">
        <w:rPr>
          <w:rFonts w:ascii="Times New Roman" w:hAnsi="Times New Roman" w:cs="Times New Roman"/>
          <w:sz w:val="24"/>
          <w:szCs w:val="24"/>
        </w:rPr>
        <w:t xml:space="preserve"> did not have credible intervals appreciably different from zero.</w:t>
      </w:r>
      <w:r w:rsidR="00943C18" w:rsidRPr="00B84387">
        <w:rPr>
          <w:rFonts w:ascii="Times New Roman" w:hAnsi="Times New Roman" w:cs="Times New Roman"/>
          <w:sz w:val="24"/>
          <w:szCs w:val="24"/>
        </w:rPr>
        <w:t xml:space="preserve"> </w:t>
      </w:r>
      <w:r w:rsidR="003669E1" w:rsidRPr="00B84387">
        <w:rPr>
          <w:rFonts w:ascii="Times New Roman" w:hAnsi="Times New Roman" w:cs="Times New Roman"/>
          <w:sz w:val="24"/>
          <w:szCs w:val="24"/>
        </w:rPr>
        <w:t xml:space="preserve">Results of analysis using alternative specifications of the PhenoAge variable (calculating biological-age advancement </w:t>
      </w:r>
      <w:r w:rsidR="00642C87" w:rsidRPr="00B84387">
        <w:rPr>
          <w:rFonts w:ascii="Times New Roman" w:hAnsi="Times New Roman" w:cs="Times New Roman"/>
          <w:sz w:val="24"/>
          <w:szCs w:val="24"/>
        </w:rPr>
        <w:t>using an alternate set of biomarkers based on Levine’s original algorithm</w:t>
      </w:r>
      <w:r w:rsidR="003B18D5" w:rsidRPr="00B84387">
        <w:rPr>
          <w:rFonts w:ascii="Times New Roman" w:hAnsi="Times New Roman" w:cs="Times New Roman"/>
          <w:sz w:val="24"/>
          <w:szCs w:val="24"/>
        </w:rPr>
        <w:t>, and using residualized-change scores</w:t>
      </w:r>
      <w:r w:rsidR="00642C87" w:rsidRPr="00B84387">
        <w:rPr>
          <w:rFonts w:ascii="Times New Roman" w:hAnsi="Times New Roman" w:cs="Times New Roman"/>
          <w:sz w:val="24"/>
          <w:szCs w:val="24"/>
        </w:rPr>
        <w:t xml:space="preserve">) yielded similar results to our primary analysis, although the </w:t>
      </w:r>
      <w:r w:rsidR="003B18D5" w:rsidRPr="00B84387">
        <w:rPr>
          <w:rFonts w:ascii="Times New Roman" w:hAnsi="Times New Roman" w:cs="Times New Roman"/>
          <w:sz w:val="24"/>
          <w:szCs w:val="24"/>
        </w:rPr>
        <w:t>latter</w:t>
      </w:r>
      <w:r w:rsidR="00642C87" w:rsidRPr="00B84387">
        <w:rPr>
          <w:rFonts w:ascii="Times New Roman" w:hAnsi="Times New Roman" w:cs="Times New Roman"/>
          <w:sz w:val="24"/>
          <w:szCs w:val="24"/>
        </w:rPr>
        <w:t xml:space="preserve"> also evidenced cohort effects among White women in mid-century birth cohorts.</w:t>
      </w:r>
      <w:r w:rsidR="00CA2FC2" w:rsidRPr="00B84387">
        <w:rPr>
          <w:rFonts w:ascii="Times New Roman" w:hAnsi="Times New Roman" w:cs="Times New Roman"/>
          <w:sz w:val="24"/>
          <w:szCs w:val="24"/>
        </w:rPr>
        <w:t xml:space="preserve"> Full results are reported in </w:t>
      </w:r>
      <w:r w:rsidR="00CA2FC2" w:rsidRPr="00B84387">
        <w:rPr>
          <w:rFonts w:ascii="Times New Roman" w:hAnsi="Times New Roman" w:cs="Times New Roman"/>
          <w:b/>
          <w:bCs/>
          <w:sz w:val="24"/>
          <w:szCs w:val="24"/>
        </w:rPr>
        <w:t>Supplemental Tables and Figure B5 &amp; B6</w:t>
      </w:r>
      <w:r w:rsidR="00CA2FC2" w:rsidRPr="00B84387">
        <w:rPr>
          <w:rFonts w:ascii="Times New Roman" w:hAnsi="Times New Roman" w:cs="Times New Roman"/>
          <w:sz w:val="24"/>
          <w:szCs w:val="24"/>
        </w:rPr>
        <w:t>.</w:t>
      </w:r>
    </w:p>
    <w:p w14:paraId="18A3AD26" w14:textId="22B8C996" w:rsidR="00984D14" w:rsidRPr="00B84387" w:rsidRDefault="00323A83" w:rsidP="00AE6F50">
      <w:pPr>
        <w:pStyle w:val="Heading2"/>
        <w:rPr>
          <w:rFonts w:ascii="Times New Roman" w:hAnsi="Times New Roman" w:cs="Times New Roman"/>
          <w:sz w:val="24"/>
          <w:szCs w:val="24"/>
        </w:rPr>
      </w:pPr>
      <w:r w:rsidRPr="00B84387">
        <w:rPr>
          <w:rFonts w:ascii="Times New Roman" w:hAnsi="Times New Roman" w:cs="Times New Roman"/>
          <w:sz w:val="24"/>
          <w:szCs w:val="24"/>
        </w:rPr>
        <w:t>DISCUSSION</w:t>
      </w:r>
    </w:p>
    <w:p w14:paraId="1E8B2B76" w14:textId="7FEE3834" w:rsidR="009E0B68" w:rsidRPr="00B84387" w:rsidRDefault="001531AA" w:rsidP="00E00B26">
      <w:pPr>
        <w:ind w:firstLine="720"/>
        <w:rPr>
          <w:rFonts w:ascii="Times New Roman" w:hAnsi="Times New Roman" w:cs="Times New Roman"/>
          <w:sz w:val="24"/>
          <w:szCs w:val="24"/>
        </w:rPr>
      </w:pPr>
      <w:r w:rsidRPr="00B84387">
        <w:rPr>
          <w:rFonts w:ascii="Times New Roman" w:hAnsi="Times New Roman" w:cs="Times New Roman"/>
          <w:sz w:val="24"/>
          <w:szCs w:val="24"/>
        </w:rPr>
        <w:t xml:space="preserve">We used </w:t>
      </w:r>
      <w:r w:rsidR="00A378C1" w:rsidRPr="00B84387">
        <w:rPr>
          <w:rFonts w:ascii="Times New Roman" w:hAnsi="Times New Roman" w:cs="Times New Roman"/>
          <w:sz w:val="24"/>
          <w:szCs w:val="24"/>
        </w:rPr>
        <w:t xml:space="preserve">repeated </w:t>
      </w:r>
      <w:r w:rsidRPr="00B84387">
        <w:rPr>
          <w:rFonts w:ascii="Times New Roman" w:hAnsi="Times New Roman" w:cs="Times New Roman"/>
          <w:sz w:val="24"/>
          <w:szCs w:val="24"/>
        </w:rPr>
        <w:t xml:space="preserve">cross-sectional </w:t>
      </w:r>
      <w:r w:rsidR="00A378C1" w:rsidRPr="00B84387">
        <w:rPr>
          <w:rFonts w:ascii="Times New Roman" w:hAnsi="Times New Roman" w:cs="Times New Roman"/>
          <w:sz w:val="24"/>
          <w:szCs w:val="24"/>
        </w:rPr>
        <w:t xml:space="preserve">survey </w:t>
      </w:r>
      <w:r w:rsidRPr="00B84387">
        <w:rPr>
          <w:rFonts w:ascii="Times New Roman" w:hAnsi="Times New Roman" w:cs="Times New Roman"/>
          <w:sz w:val="24"/>
          <w:szCs w:val="24"/>
        </w:rPr>
        <w:t>data from the continuous NHANES (1999-2018) to assess age, period, and cohort trends in biological aging in the US population over the first two decades of the 21</w:t>
      </w:r>
      <w:r w:rsidRPr="00B84387">
        <w:rPr>
          <w:rFonts w:ascii="Times New Roman" w:hAnsi="Times New Roman" w:cs="Times New Roman"/>
          <w:sz w:val="24"/>
          <w:szCs w:val="24"/>
          <w:vertAlign w:val="superscript"/>
        </w:rPr>
        <w:t>st</w:t>
      </w:r>
      <w:r w:rsidRPr="00B84387">
        <w:rPr>
          <w:rFonts w:ascii="Times New Roman" w:hAnsi="Times New Roman" w:cs="Times New Roman"/>
          <w:sz w:val="24"/>
          <w:szCs w:val="24"/>
        </w:rPr>
        <w:t xml:space="preserve"> century. </w:t>
      </w:r>
      <w:r w:rsidR="008874A7" w:rsidRPr="00B84387">
        <w:rPr>
          <w:rFonts w:ascii="Times New Roman" w:hAnsi="Times New Roman" w:cs="Times New Roman"/>
          <w:sz w:val="24"/>
          <w:szCs w:val="24"/>
        </w:rPr>
        <w:t>Overall, p</w:t>
      </w:r>
      <w:r w:rsidRPr="00B84387">
        <w:rPr>
          <w:rFonts w:ascii="Times New Roman" w:hAnsi="Times New Roman" w:cs="Times New Roman"/>
          <w:sz w:val="24"/>
          <w:szCs w:val="24"/>
        </w:rPr>
        <w:t xml:space="preserve">articipants in continuous NHANES were biologically younger than participants in </w:t>
      </w:r>
      <w:r w:rsidR="00ED0BDE" w:rsidRPr="00B84387">
        <w:rPr>
          <w:rFonts w:ascii="Times New Roman" w:hAnsi="Times New Roman" w:cs="Times New Roman"/>
          <w:sz w:val="24"/>
          <w:szCs w:val="24"/>
        </w:rPr>
        <w:t xml:space="preserve">the </w:t>
      </w:r>
      <w:r w:rsidRPr="00B84387">
        <w:rPr>
          <w:rFonts w:ascii="Times New Roman" w:hAnsi="Times New Roman" w:cs="Times New Roman"/>
          <w:sz w:val="24"/>
          <w:szCs w:val="24"/>
        </w:rPr>
        <w:t xml:space="preserve">NHANES III </w:t>
      </w:r>
      <w:r w:rsidR="00ED0BDE" w:rsidRPr="00B84387">
        <w:rPr>
          <w:rFonts w:ascii="Times New Roman" w:hAnsi="Times New Roman" w:cs="Times New Roman"/>
          <w:sz w:val="24"/>
          <w:szCs w:val="24"/>
        </w:rPr>
        <w:t>training sample (</w:t>
      </w:r>
      <w:r w:rsidRPr="00B84387">
        <w:rPr>
          <w:rFonts w:ascii="Times New Roman" w:hAnsi="Times New Roman" w:cs="Times New Roman"/>
          <w:sz w:val="24"/>
          <w:szCs w:val="24"/>
        </w:rPr>
        <w:t>1988-1994</w:t>
      </w:r>
      <w:r w:rsidR="00ED0BDE" w:rsidRPr="00B84387">
        <w:rPr>
          <w:rFonts w:ascii="Times New Roman" w:hAnsi="Times New Roman" w:cs="Times New Roman"/>
          <w:sz w:val="24"/>
          <w:szCs w:val="24"/>
        </w:rPr>
        <w:t>)</w:t>
      </w:r>
      <w:r w:rsidRPr="00B84387">
        <w:rPr>
          <w:rFonts w:ascii="Times New Roman" w:hAnsi="Times New Roman" w:cs="Times New Roman"/>
          <w:sz w:val="24"/>
          <w:szCs w:val="24"/>
        </w:rPr>
        <w:t xml:space="preserve">. This was consistent with overall findings from Levine and colleagues, who reported lower biological age in more recent periods using continuous NHANES data from 2007-2010 using the Klemera-Doubal Biological Age measure </w:t>
      </w:r>
      <w:r w:rsidR="000C67A7" w:rsidRPr="00B84387">
        <w:rPr>
          <w:rFonts w:ascii="Times New Roman" w:hAnsi="Times New Roman" w:cs="Times New Roman"/>
          <w:sz w:val="24"/>
          <w:szCs w:val="24"/>
        </w:rPr>
        <w:t>(60)</w:t>
      </w:r>
      <w:r w:rsidR="009E0B68" w:rsidRPr="00B84387">
        <w:rPr>
          <w:rFonts w:ascii="Times New Roman" w:hAnsi="Times New Roman" w:cs="Times New Roman"/>
          <w:sz w:val="24"/>
          <w:szCs w:val="24"/>
        </w:rPr>
        <w:t xml:space="preserve">. </w:t>
      </w:r>
      <w:r w:rsidRPr="00B84387">
        <w:rPr>
          <w:rFonts w:ascii="Times New Roman" w:hAnsi="Times New Roman" w:cs="Times New Roman"/>
          <w:sz w:val="24"/>
          <w:szCs w:val="24"/>
        </w:rPr>
        <w:t>However, mean biological-age advancement rose over the study period 1999-2018</w:t>
      </w:r>
      <w:r w:rsidR="00E7506C" w:rsidRPr="00B84387">
        <w:rPr>
          <w:rFonts w:ascii="Times New Roman" w:hAnsi="Times New Roman" w:cs="Times New Roman"/>
          <w:sz w:val="24"/>
          <w:szCs w:val="24"/>
        </w:rPr>
        <w:t xml:space="preserve"> </w:t>
      </w:r>
      <w:r w:rsidRPr="00B84387">
        <w:rPr>
          <w:rFonts w:ascii="Times New Roman" w:hAnsi="Times New Roman" w:cs="Times New Roman"/>
          <w:sz w:val="24"/>
          <w:szCs w:val="24"/>
        </w:rPr>
        <w:t>across all race-sex subgroups.</w:t>
      </w:r>
      <w:r w:rsidR="000B71C8" w:rsidRPr="00B84387">
        <w:rPr>
          <w:rFonts w:ascii="Times New Roman" w:hAnsi="Times New Roman" w:cs="Times New Roman"/>
          <w:sz w:val="24"/>
          <w:szCs w:val="24"/>
        </w:rPr>
        <w:t xml:space="preserve"> </w:t>
      </w:r>
    </w:p>
    <w:p w14:paraId="1EAA8111" w14:textId="69032E4A" w:rsidR="000B71C8" w:rsidRPr="00B84387" w:rsidRDefault="001531AA" w:rsidP="00E00B26">
      <w:pPr>
        <w:ind w:firstLine="720"/>
        <w:rPr>
          <w:rFonts w:ascii="Times New Roman" w:hAnsi="Times New Roman" w:cs="Times New Roman"/>
          <w:sz w:val="24"/>
          <w:szCs w:val="24"/>
        </w:rPr>
      </w:pPr>
      <w:r w:rsidRPr="00B84387">
        <w:rPr>
          <w:rFonts w:ascii="Times New Roman" w:hAnsi="Times New Roman" w:cs="Times New Roman"/>
          <w:sz w:val="24"/>
          <w:szCs w:val="24"/>
        </w:rPr>
        <w:lastRenderedPageBreak/>
        <w:t xml:space="preserve">Formal age-period-cohort </w:t>
      </w:r>
      <w:r w:rsidR="00D6302A" w:rsidRPr="00B84387">
        <w:rPr>
          <w:rFonts w:ascii="Times New Roman" w:hAnsi="Times New Roman" w:cs="Times New Roman"/>
          <w:sz w:val="24"/>
          <w:szCs w:val="24"/>
        </w:rPr>
        <w:t xml:space="preserve">(APC) </w:t>
      </w:r>
      <w:r w:rsidRPr="00B84387">
        <w:rPr>
          <w:rFonts w:ascii="Times New Roman" w:hAnsi="Times New Roman" w:cs="Times New Roman"/>
          <w:sz w:val="24"/>
          <w:szCs w:val="24"/>
        </w:rPr>
        <w:t xml:space="preserve">decomposition </w:t>
      </w:r>
      <w:r w:rsidR="00DE1596" w:rsidRPr="00B84387">
        <w:rPr>
          <w:rFonts w:ascii="Times New Roman" w:hAnsi="Times New Roman" w:cs="Times New Roman"/>
          <w:sz w:val="24"/>
          <w:szCs w:val="24"/>
        </w:rPr>
        <w:t xml:space="preserve">methods </w:t>
      </w:r>
      <w:r w:rsidR="000B71C8" w:rsidRPr="00B84387">
        <w:rPr>
          <w:rFonts w:ascii="Times New Roman" w:hAnsi="Times New Roman" w:cs="Times New Roman"/>
          <w:sz w:val="24"/>
          <w:szCs w:val="24"/>
        </w:rPr>
        <w:t xml:space="preserve">were implemented to further explore </w:t>
      </w:r>
      <w:r w:rsidRPr="00B84387">
        <w:rPr>
          <w:rFonts w:ascii="Times New Roman" w:hAnsi="Times New Roman" w:cs="Times New Roman"/>
          <w:sz w:val="24"/>
          <w:szCs w:val="24"/>
        </w:rPr>
        <w:t>population trends in biological aging over the study period.</w:t>
      </w:r>
      <w:r w:rsidR="00D6302A" w:rsidRPr="00B84387">
        <w:rPr>
          <w:rFonts w:ascii="Times New Roman" w:hAnsi="Times New Roman" w:cs="Times New Roman"/>
          <w:sz w:val="24"/>
          <w:szCs w:val="24"/>
        </w:rPr>
        <w:t xml:space="preserve"> The goal of APC analysis is to identify the extent to which age, period, and cohort independently affect time trends in some outcome of interest, by making assumptions which circumvent the perfect linear dependency between the three effects. </w:t>
      </w:r>
      <w:r w:rsidR="00332399" w:rsidRPr="00B84387">
        <w:rPr>
          <w:rFonts w:ascii="Times New Roman" w:hAnsi="Times New Roman" w:cs="Times New Roman"/>
          <w:sz w:val="24"/>
          <w:szCs w:val="24"/>
        </w:rPr>
        <w:t xml:space="preserve">We used a Bayesian Hierarchical (BHAPC) approach, modelling age as an individual-level effect nest within contextual period and cohort variables. </w:t>
      </w:r>
    </w:p>
    <w:p w14:paraId="193C3AD1" w14:textId="06FD3F11" w:rsidR="001531AA" w:rsidRPr="00B84387" w:rsidRDefault="00332399" w:rsidP="00E00B26">
      <w:pPr>
        <w:ind w:firstLine="720"/>
        <w:rPr>
          <w:rFonts w:ascii="Times New Roman" w:hAnsi="Times New Roman" w:cs="Times New Roman"/>
          <w:sz w:val="24"/>
          <w:szCs w:val="24"/>
        </w:rPr>
      </w:pPr>
      <w:r w:rsidRPr="00B84387">
        <w:rPr>
          <w:rFonts w:ascii="Times New Roman" w:hAnsi="Times New Roman" w:cs="Times New Roman"/>
          <w:sz w:val="24"/>
          <w:szCs w:val="24"/>
        </w:rPr>
        <w:t>We observed e</w:t>
      </w:r>
      <w:r w:rsidR="001531AA" w:rsidRPr="00B84387">
        <w:rPr>
          <w:rFonts w:ascii="Times New Roman" w:hAnsi="Times New Roman" w:cs="Times New Roman"/>
          <w:sz w:val="24"/>
          <w:szCs w:val="24"/>
        </w:rPr>
        <w:t xml:space="preserve">xpected social gradients across the entire age range of our sample, independent of birth cohort and measurement wave: women evidenced less advanced biological aging than men, and White participants evidenced less advanced biological aging than Black participants. </w:t>
      </w:r>
      <w:r w:rsidRPr="00B84387">
        <w:rPr>
          <w:rFonts w:ascii="Times New Roman" w:hAnsi="Times New Roman" w:cs="Times New Roman"/>
          <w:sz w:val="24"/>
          <w:szCs w:val="24"/>
        </w:rPr>
        <w:t xml:space="preserve">Consistent with Gompertz expectations of accelerating senescence with advancing age, </w:t>
      </w:r>
      <w:r w:rsidR="000B71C8" w:rsidRPr="00B84387">
        <w:rPr>
          <w:rFonts w:ascii="Times New Roman" w:hAnsi="Times New Roman" w:cs="Times New Roman"/>
          <w:sz w:val="24"/>
          <w:szCs w:val="24"/>
        </w:rPr>
        <w:t xml:space="preserve">we also saw </w:t>
      </w:r>
      <w:r w:rsidRPr="00B84387">
        <w:rPr>
          <w:rFonts w:ascii="Times New Roman" w:hAnsi="Times New Roman" w:cs="Times New Roman"/>
          <w:sz w:val="24"/>
          <w:szCs w:val="24"/>
        </w:rPr>
        <w:t>small increases in biological-age advancement alongside chronological age.</w:t>
      </w:r>
      <w:r w:rsidR="00865E3B" w:rsidRPr="00B84387">
        <w:rPr>
          <w:rFonts w:ascii="Times New Roman" w:hAnsi="Times New Roman" w:cs="Times New Roman"/>
          <w:sz w:val="24"/>
          <w:szCs w:val="24"/>
        </w:rPr>
        <w:t xml:space="preserve"> </w:t>
      </w:r>
      <w:r w:rsidR="000B71C8" w:rsidRPr="00B84387">
        <w:rPr>
          <w:rFonts w:ascii="Times New Roman" w:hAnsi="Times New Roman" w:cs="Times New Roman"/>
          <w:sz w:val="24"/>
          <w:szCs w:val="24"/>
        </w:rPr>
        <w:t>Following these observations, w</w:t>
      </w:r>
      <w:r w:rsidR="001531AA" w:rsidRPr="00B84387">
        <w:rPr>
          <w:rFonts w:ascii="Times New Roman" w:hAnsi="Times New Roman" w:cs="Times New Roman"/>
          <w:sz w:val="24"/>
          <w:szCs w:val="24"/>
        </w:rPr>
        <w:t>e identified significant period increases in biological aging over the study period, with increases from 2003-2007 and from 2011-onwards</w:t>
      </w:r>
      <w:r w:rsidR="000B71C8" w:rsidRPr="00B84387">
        <w:rPr>
          <w:rFonts w:ascii="Times New Roman" w:hAnsi="Times New Roman" w:cs="Times New Roman"/>
          <w:sz w:val="24"/>
          <w:szCs w:val="24"/>
        </w:rPr>
        <w:t xml:space="preserve">. </w:t>
      </w:r>
      <w:r w:rsidR="003C618F" w:rsidRPr="00B84387">
        <w:rPr>
          <w:rFonts w:ascii="Times New Roman" w:hAnsi="Times New Roman" w:cs="Times New Roman"/>
          <w:sz w:val="24"/>
          <w:szCs w:val="24"/>
        </w:rPr>
        <w:t>Our results suggest that</w:t>
      </w:r>
      <w:r w:rsidR="000B71C8" w:rsidRPr="00B84387">
        <w:rPr>
          <w:rFonts w:ascii="Times New Roman" w:hAnsi="Times New Roman" w:cs="Times New Roman"/>
          <w:sz w:val="24"/>
          <w:szCs w:val="24"/>
        </w:rPr>
        <w:t xml:space="preserve"> </w:t>
      </w:r>
      <w:r w:rsidR="00F61DFC" w:rsidRPr="00B84387">
        <w:rPr>
          <w:rFonts w:ascii="Times New Roman" w:hAnsi="Times New Roman" w:cs="Times New Roman"/>
          <w:sz w:val="24"/>
          <w:szCs w:val="24"/>
        </w:rPr>
        <w:t xml:space="preserve">while </w:t>
      </w:r>
      <w:r w:rsidR="000B71C8" w:rsidRPr="00B84387">
        <w:rPr>
          <w:rFonts w:ascii="Times New Roman" w:hAnsi="Times New Roman" w:cs="Times New Roman"/>
          <w:sz w:val="24"/>
          <w:szCs w:val="24"/>
        </w:rPr>
        <w:t xml:space="preserve">population aging </w:t>
      </w:r>
      <w:r w:rsidR="00737CF0" w:rsidRPr="00B84387">
        <w:rPr>
          <w:rFonts w:ascii="Times New Roman" w:hAnsi="Times New Roman" w:cs="Times New Roman"/>
          <w:sz w:val="24"/>
          <w:szCs w:val="24"/>
        </w:rPr>
        <w:t xml:space="preserve">trajectories in the United States </w:t>
      </w:r>
      <w:r w:rsidR="000B71C8" w:rsidRPr="00B84387">
        <w:rPr>
          <w:rFonts w:ascii="Times New Roman" w:hAnsi="Times New Roman" w:cs="Times New Roman"/>
          <w:sz w:val="24"/>
          <w:szCs w:val="24"/>
        </w:rPr>
        <w:t xml:space="preserve">slowed </w:t>
      </w:r>
      <w:r w:rsidR="00737CF0" w:rsidRPr="00B84387">
        <w:rPr>
          <w:rFonts w:ascii="Times New Roman" w:hAnsi="Times New Roman" w:cs="Times New Roman"/>
          <w:sz w:val="24"/>
          <w:szCs w:val="24"/>
        </w:rPr>
        <w:t xml:space="preserve">between the early and late 1990s, we are now </w:t>
      </w:r>
      <w:r w:rsidR="000B71C8" w:rsidRPr="00B84387">
        <w:rPr>
          <w:rFonts w:ascii="Times New Roman" w:hAnsi="Times New Roman" w:cs="Times New Roman"/>
          <w:sz w:val="24"/>
          <w:szCs w:val="24"/>
        </w:rPr>
        <w:t>observ</w:t>
      </w:r>
      <w:r w:rsidR="00737CF0" w:rsidRPr="00B84387">
        <w:rPr>
          <w:rFonts w:ascii="Times New Roman" w:hAnsi="Times New Roman" w:cs="Times New Roman"/>
          <w:sz w:val="24"/>
          <w:szCs w:val="24"/>
        </w:rPr>
        <w:t>ing</w:t>
      </w:r>
      <w:r w:rsidR="000B71C8" w:rsidRPr="00B84387">
        <w:rPr>
          <w:rFonts w:ascii="Times New Roman" w:hAnsi="Times New Roman" w:cs="Times New Roman"/>
          <w:sz w:val="24"/>
          <w:szCs w:val="24"/>
        </w:rPr>
        <w:t xml:space="preserve"> a reversal of these gains</w:t>
      </w:r>
      <w:r w:rsidR="00C2506A" w:rsidRPr="00B84387">
        <w:rPr>
          <w:rFonts w:ascii="Times New Roman" w:hAnsi="Times New Roman" w:cs="Times New Roman"/>
          <w:sz w:val="24"/>
          <w:szCs w:val="24"/>
        </w:rPr>
        <w:t xml:space="preserve"> – especially in the second decade of the 21</w:t>
      </w:r>
      <w:r w:rsidR="00C2506A" w:rsidRPr="00B84387">
        <w:rPr>
          <w:rFonts w:ascii="Times New Roman" w:hAnsi="Times New Roman" w:cs="Times New Roman"/>
          <w:sz w:val="24"/>
          <w:szCs w:val="24"/>
          <w:vertAlign w:val="superscript"/>
        </w:rPr>
        <w:t>st</w:t>
      </w:r>
      <w:r w:rsidR="00C2506A" w:rsidRPr="00B84387">
        <w:rPr>
          <w:rFonts w:ascii="Times New Roman" w:hAnsi="Times New Roman" w:cs="Times New Roman"/>
          <w:sz w:val="24"/>
          <w:szCs w:val="24"/>
        </w:rPr>
        <w:t xml:space="preserve"> century</w:t>
      </w:r>
      <w:r w:rsidR="000B71C8" w:rsidRPr="00B84387">
        <w:rPr>
          <w:rFonts w:ascii="Times New Roman" w:hAnsi="Times New Roman" w:cs="Times New Roman"/>
          <w:sz w:val="24"/>
          <w:szCs w:val="24"/>
        </w:rPr>
        <w:t xml:space="preserve">. Limited evidence of cohort effects was observed. </w:t>
      </w:r>
      <w:r w:rsidR="001531AA" w:rsidRPr="00B84387">
        <w:rPr>
          <w:rFonts w:ascii="Times New Roman" w:hAnsi="Times New Roman" w:cs="Times New Roman"/>
          <w:sz w:val="24"/>
          <w:szCs w:val="24"/>
        </w:rPr>
        <w:t xml:space="preserve">Overall, findings were robust to sensitivity analyses that varied the algorithms used to calculate biological age, biomarker composition of biological age algorithms, and methods of APC decomposition, with the exception that </w:t>
      </w:r>
      <w:r w:rsidR="0030571A" w:rsidRPr="00B84387">
        <w:rPr>
          <w:rFonts w:ascii="Times New Roman" w:hAnsi="Times New Roman" w:cs="Times New Roman"/>
          <w:sz w:val="24"/>
          <w:szCs w:val="24"/>
        </w:rPr>
        <w:t xml:space="preserve">1) </w:t>
      </w:r>
      <w:r w:rsidR="0021039B" w:rsidRPr="00B84387">
        <w:rPr>
          <w:rFonts w:ascii="Times New Roman" w:hAnsi="Times New Roman" w:cs="Times New Roman"/>
          <w:sz w:val="24"/>
          <w:szCs w:val="24"/>
        </w:rPr>
        <w:t xml:space="preserve">analysis using </w:t>
      </w:r>
      <w:r w:rsidR="0030571A" w:rsidRPr="00B84387">
        <w:rPr>
          <w:rFonts w:ascii="Times New Roman" w:hAnsi="Times New Roman" w:cs="Times New Roman"/>
          <w:sz w:val="24"/>
          <w:szCs w:val="24"/>
        </w:rPr>
        <w:t>the</w:t>
      </w:r>
      <w:r w:rsidR="001531AA" w:rsidRPr="00B84387">
        <w:rPr>
          <w:rFonts w:ascii="Times New Roman" w:hAnsi="Times New Roman" w:cs="Times New Roman"/>
          <w:sz w:val="24"/>
          <w:szCs w:val="24"/>
        </w:rPr>
        <w:t xml:space="preserve"> Homeostatic Dysregulation measure of biological age showed attenuated period effects</w:t>
      </w:r>
      <w:r w:rsidR="0021039B" w:rsidRPr="00B84387">
        <w:rPr>
          <w:rFonts w:ascii="Times New Roman" w:hAnsi="Times New Roman" w:cs="Times New Roman"/>
          <w:sz w:val="24"/>
          <w:szCs w:val="24"/>
        </w:rPr>
        <w:t xml:space="preserve">, </w:t>
      </w:r>
      <w:r w:rsidR="001531AA" w:rsidRPr="00B84387">
        <w:rPr>
          <w:rFonts w:ascii="Times New Roman" w:hAnsi="Times New Roman" w:cs="Times New Roman"/>
          <w:sz w:val="24"/>
          <w:szCs w:val="24"/>
        </w:rPr>
        <w:t>and</w:t>
      </w:r>
      <w:r w:rsidR="0021039B" w:rsidRPr="00B84387">
        <w:rPr>
          <w:rFonts w:ascii="Times New Roman" w:hAnsi="Times New Roman" w:cs="Times New Roman"/>
          <w:sz w:val="24"/>
          <w:szCs w:val="24"/>
        </w:rPr>
        <w:t xml:space="preserve"> 2) analysis </w:t>
      </w:r>
      <w:r w:rsidR="00F13357" w:rsidRPr="00B84387">
        <w:rPr>
          <w:rFonts w:ascii="Times New Roman" w:hAnsi="Times New Roman" w:cs="Times New Roman"/>
          <w:sz w:val="24"/>
          <w:szCs w:val="24"/>
        </w:rPr>
        <w:t>using</w:t>
      </w:r>
      <w:r w:rsidR="00B73215" w:rsidRPr="00B84387">
        <w:rPr>
          <w:rFonts w:ascii="Times New Roman" w:hAnsi="Times New Roman" w:cs="Times New Roman"/>
          <w:sz w:val="24"/>
          <w:szCs w:val="24"/>
        </w:rPr>
        <w:t xml:space="preserve"> </w:t>
      </w:r>
      <w:r w:rsidR="0021039B" w:rsidRPr="00B84387">
        <w:rPr>
          <w:rFonts w:ascii="Times New Roman" w:hAnsi="Times New Roman" w:cs="Times New Roman"/>
          <w:sz w:val="24"/>
          <w:szCs w:val="24"/>
        </w:rPr>
        <w:t xml:space="preserve">the Homeostatic Dysregulation measure </w:t>
      </w:r>
      <w:r w:rsidR="00886676" w:rsidRPr="00B84387">
        <w:rPr>
          <w:rFonts w:ascii="Times New Roman" w:hAnsi="Times New Roman" w:cs="Times New Roman"/>
          <w:sz w:val="24"/>
          <w:szCs w:val="24"/>
        </w:rPr>
        <w:t xml:space="preserve">as well as an alternative </w:t>
      </w:r>
      <w:r w:rsidR="0021039B" w:rsidRPr="00B84387">
        <w:rPr>
          <w:rFonts w:ascii="Times New Roman" w:hAnsi="Times New Roman" w:cs="Times New Roman"/>
          <w:sz w:val="24"/>
          <w:szCs w:val="24"/>
        </w:rPr>
        <w:t xml:space="preserve">PhenoAge specification </w:t>
      </w:r>
      <w:r w:rsidR="00886676" w:rsidRPr="00B84387">
        <w:rPr>
          <w:rFonts w:ascii="Times New Roman" w:hAnsi="Times New Roman" w:cs="Times New Roman"/>
          <w:sz w:val="24"/>
          <w:szCs w:val="24"/>
        </w:rPr>
        <w:t>(</w:t>
      </w:r>
      <w:r w:rsidR="0021039B" w:rsidRPr="00B84387">
        <w:rPr>
          <w:rFonts w:ascii="Times New Roman" w:hAnsi="Times New Roman" w:cs="Times New Roman"/>
          <w:sz w:val="24"/>
          <w:szCs w:val="24"/>
        </w:rPr>
        <w:t>using the original set of Levine biomarkers</w:t>
      </w:r>
      <w:r w:rsidR="00886676" w:rsidRPr="00B84387">
        <w:rPr>
          <w:rFonts w:ascii="Times New Roman" w:hAnsi="Times New Roman" w:cs="Times New Roman"/>
          <w:sz w:val="24"/>
          <w:szCs w:val="24"/>
        </w:rPr>
        <w:t>)</w:t>
      </w:r>
      <w:r w:rsidR="0030571A" w:rsidRPr="00B84387">
        <w:rPr>
          <w:rFonts w:ascii="Times New Roman" w:hAnsi="Times New Roman" w:cs="Times New Roman"/>
          <w:sz w:val="24"/>
          <w:szCs w:val="24"/>
        </w:rPr>
        <w:t xml:space="preserve"> suggested </w:t>
      </w:r>
      <w:r w:rsidR="002144CF" w:rsidRPr="00B84387">
        <w:rPr>
          <w:rFonts w:ascii="Times New Roman" w:hAnsi="Times New Roman" w:cs="Times New Roman"/>
          <w:sz w:val="24"/>
          <w:szCs w:val="24"/>
        </w:rPr>
        <w:t>small</w:t>
      </w:r>
      <w:r w:rsidR="0030571A" w:rsidRPr="00B84387">
        <w:rPr>
          <w:rFonts w:ascii="Times New Roman" w:hAnsi="Times New Roman" w:cs="Times New Roman"/>
          <w:sz w:val="24"/>
          <w:szCs w:val="24"/>
        </w:rPr>
        <w:t xml:space="preserve"> cohort effects among White women</w:t>
      </w:r>
      <w:r w:rsidR="00046821" w:rsidRPr="00B84387">
        <w:rPr>
          <w:rFonts w:ascii="Times New Roman" w:hAnsi="Times New Roman" w:cs="Times New Roman"/>
          <w:sz w:val="24"/>
          <w:szCs w:val="24"/>
        </w:rPr>
        <w:t xml:space="preserve"> born in the late 1960s and early 1970s.</w:t>
      </w:r>
    </w:p>
    <w:p w14:paraId="5B36D163" w14:textId="2A51FC6B" w:rsidR="0011523E" w:rsidRPr="00B84387" w:rsidRDefault="001531AA" w:rsidP="00E00B26">
      <w:pPr>
        <w:ind w:firstLine="720"/>
        <w:rPr>
          <w:rFonts w:ascii="Times New Roman" w:hAnsi="Times New Roman" w:cs="Times New Roman"/>
          <w:sz w:val="24"/>
          <w:szCs w:val="24"/>
        </w:rPr>
      </w:pPr>
      <w:r w:rsidRPr="00B84387">
        <w:rPr>
          <w:rFonts w:ascii="Times New Roman" w:hAnsi="Times New Roman" w:cs="Times New Roman"/>
          <w:sz w:val="24"/>
          <w:szCs w:val="24"/>
        </w:rPr>
        <w:t xml:space="preserve">Our findings contrast with </w:t>
      </w:r>
      <w:r w:rsidR="00FC79E0" w:rsidRPr="00B84387">
        <w:rPr>
          <w:rFonts w:ascii="Times New Roman" w:hAnsi="Times New Roman" w:cs="Times New Roman"/>
          <w:sz w:val="24"/>
          <w:szCs w:val="24"/>
        </w:rPr>
        <w:t xml:space="preserve">recent </w:t>
      </w:r>
      <w:r w:rsidRPr="00B84387">
        <w:rPr>
          <w:rFonts w:ascii="Times New Roman" w:hAnsi="Times New Roman" w:cs="Times New Roman"/>
          <w:sz w:val="24"/>
          <w:szCs w:val="24"/>
        </w:rPr>
        <w:t xml:space="preserve">cohort trends </w:t>
      </w:r>
      <w:r w:rsidR="00FC79E0" w:rsidRPr="00B84387">
        <w:rPr>
          <w:rFonts w:ascii="Times New Roman" w:hAnsi="Times New Roman" w:cs="Times New Roman"/>
          <w:sz w:val="24"/>
          <w:szCs w:val="24"/>
        </w:rPr>
        <w:t xml:space="preserve">evidencing </w:t>
      </w:r>
      <w:r w:rsidRPr="00B84387">
        <w:rPr>
          <w:rFonts w:ascii="Times New Roman" w:hAnsi="Times New Roman" w:cs="Times New Roman"/>
          <w:sz w:val="24"/>
          <w:szCs w:val="24"/>
        </w:rPr>
        <w:t xml:space="preserve">higher mortality among </w:t>
      </w:r>
      <w:r w:rsidR="00EE6F29" w:rsidRPr="00B84387">
        <w:rPr>
          <w:rFonts w:ascii="Times New Roman" w:hAnsi="Times New Roman" w:cs="Times New Roman"/>
          <w:sz w:val="24"/>
          <w:szCs w:val="24"/>
        </w:rPr>
        <w:t xml:space="preserve">White and Black American </w:t>
      </w:r>
      <w:r w:rsidR="00FC79E0" w:rsidRPr="00B84387">
        <w:rPr>
          <w:rFonts w:ascii="Times New Roman" w:hAnsi="Times New Roman" w:cs="Times New Roman"/>
          <w:sz w:val="24"/>
          <w:szCs w:val="24"/>
        </w:rPr>
        <w:t xml:space="preserve">men in midlife and young adulthood </w:t>
      </w:r>
      <w:r w:rsidR="000C67A7" w:rsidRPr="00B84387">
        <w:rPr>
          <w:rFonts w:ascii="Times New Roman" w:hAnsi="Times New Roman" w:cs="Times New Roman"/>
          <w:sz w:val="24"/>
          <w:szCs w:val="24"/>
        </w:rPr>
        <w:t>(85,86)</w:t>
      </w:r>
      <w:r w:rsidRPr="00B84387">
        <w:rPr>
          <w:rFonts w:ascii="Times New Roman" w:hAnsi="Times New Roman" w:cs="Times New Roman"/>
          <w:sz w:val="24"/>
          <w:szCs w:val="24"/>
        </w:rPr>
        <w:t>. Instead, our analysis of biological ag</w:t>
      </w:r>
      <w:r w:rsidR="00E805F0" w:rsidRPr="00B84387">
        <w:rPr>
          <w:rFonts w:ascii="Times New Roman" w:hAnsi="Times New Roman" w:cs="Times New Roman"/>
          <w:sz w:val="24"/>
          <w:szCs w:val="24"/>
        </w:rPr>
        <w:t>ing trajectories</w:t>
      </w:r>
      <w:r w:rsidRPr="00B84387">
        <w:rPr>
          <w:rFonts w:ascii="Times New Roman" w:hAnsi="Times New Roman" w:cs="Times New Roman"/>
          <w:sz w:val="24"/>
          <w:szCs w:val="24"/>
        </w:rPr>
        <w:t xml:space="preserve"> suggest</w:t>
      </w:r>
      <w:r w:rsidR="00E805F0" w:rsidRPr="00B84387">
        <w:rPr>
          <w:rFonts w:ascii="Times New Roman" w:hAnsi="Times New Roman" w:cs="Times New Roman"/>
          <w:sz w:val="24"/>
          <w:szCs w:val="24"/>
        </w:rPr>
        <w:t>s</w:t>
      </w:r>
      <w:r w:rsidRPr="00B84387">
        <w:rPr>
          <w:rFonts w:ascii="Times New Roman" w:hAnsi="Times New Roman" w:cs="Times New Roman"/>
          <w:sz w:val="24"/>
          <w:szCs w:val="24"/>
        </w:rPr>
        <w:t xml:space="preserve"> that </w:t>
      </w:r>
      <w:r w:rsidR="00FF60E3" w:rsidRPr="00B84387">
        <w:rPr>
          <w:rFonts w:ascii="Times New Roman" w:hAnsi="Times New Roman" w:cs="Times New Roman"/>
          <w:sz w:val="24"/>
          <w:szCs w:val="24"/>
        </w:rPr>
        <w:t>the</w:t>
      </w:r>
      <w:r w:rsidR="0011523E" w:rsidRPr="00B84387">
        <w:rPr>
          <w:rFonts w:ascii="Times New Roman" w:hAnsi="Times New Roman" w:cs="Times New Roman"/>
          <w:sz w:val="24"/>
          <w:szCs w:val="24"/>
        </w:rPr>
        <w:t xml:space="preserve"> U.S. </w:t>
      </w:r>
      <w:r w:rsidRPr="00B84387">
        <w:rPr>
          <w:rFonts w:ascii="Times New Roman" w:hAnsi="Times New Roman" w:cs="Times New Roman"/>
          <w:sz w:val="24"/>
          <w:szCs w:val="24"/>
        </w:rPr>
        <w:t xml:space="preserve">population </w:t>
      </w:r>
      <w:r w:rsidR="00FF60E3" w:rsidRPr="00B84387">
        <w:rPr>
          <w:rFonts w:ascii="Times New Roman" w:hAnsi="Times New Roman" w:cs="Times New Roman"/>
          <w:sz w:val="24"/>
          <w:szCs w:val="24"/>
        </w:rPr>
        <w:t xml:space="preserve">is aging more rapidly overall </w:t>
      </w:r>
      <w:r w:rsidRPr="00B84387">
        <w:rPr>
          <w:rFonts w:ascii="Times New Roman" w:hAnsi="Times New Roman" w:cs="Times New Roman"/>
          <w:sz w:val="24"/>
          <w:szCs w:val="24"/>
        </w:rPr>
        <w:t xml:space="preserve">in the </w:t>
      </w:r>
      <w:r w:rsidR="00006F0A" w:rsidRPr="00B84387">
        <w:rPr>
          <w:rFonts w:ascii="Times New Roman" w:hAnsi="Times New Roman" w:cs="Times New Roman"/>
          <w:sz w:val="24"/>
          <w:szCs w:val="24"/>
        </w:rPr>
        <w:t>second</w:t>
      </w:r>
      <w:r w:rsidRPr="00B84387">
        <w:rPr>
          <w:rFonts w:ascii="Times New Roman" w:hAnsi="Times New Roman" w:cs="Times New Roman"/>
          <w:sz w:val="24"/>
          <w:szCs w:val="24"/>
        </w:rPr>
        <w:t xml:space="preserve"> decade of the 21</w:t>
      </w:r>
      <w:r w:rsidRPr="00B84387">
        <w:rPr>
          <w:rFonts w:ascii="Times New Roman" w:hAnsi="Times New Roman" w:cs="Times New Roman"/>
          <w:sz w:val="24"/>
          <w:szCs w:val="24"/>
          <w:vertAlign w:val="superscript"/>
        </w:rPr>
        <w:t>st</w:t>
      </w:r>
      <w:r w:rsidRPr="00B84387">
        <w:rPr>
          <w:rFonts w:ascii="Times New Roman" w:hAnsi="Times New Roman" w:cs="Times New Roman"/>
          <w:sz w:val="24"/>
          <w:szCs w:val="24"/>
        </w:rPr>
        <w:t xml:space="preserve"> </w:t>
      </w:r>
      <w:r w:rsidR="004C323A" w:rsidRPr="00B84387">
        <w:rPr>
          <w:rFonts w:ascii="Times New Roman" w:hAnsi="Times New Roman" w:cs="Times New Roman"/>
          <w:sz w:val="24"/>
          <w:szCs w:val="24"/>
        </w:rPr>
        <w:t>c</w:t>
      </w:r>
      <w:r w:rsidRPr="00B84387">
        <w:rPr>
          <w:rFonts w:ascii="Times New Roman" w:hAnsi="Times New Roman" w:cs="Times New Roman"/>
          <w:sz w:val="24"/>
          <w:szCs w:val="24"/>
        </w:rPr>
        <w:t>ent</w:t>
      </w:r>
      <w:r w:rsidR="0008792F" w:rsidRPr="00B84387">
        <w:rPr>
          <w:rFonts w:ascii="Times New Roman" w:hAnsi="Times New Roman" w:cs="Times New Roman"/>
          <w:sz w:val="24"/>
          <w:szCs w:val="24"/>
        </w:rPr>
        <w:t xml:space="preserve">ury, </w:t>
      </w:r>
      <w:r w:rsidR="00FC2CDC" w:rsidRPr="00B84387">
        <w:rPr>
          <w:rFonts w:ascii="Times New Roman" w:hAnsi="Times New Roman" w:cs="Times New Roman"/>
          <w:sz w:val="24"/>
          <w:szCs w:val="24"/>
        </w:rPr>
        <w:t>across dimensions of race</w:t>
      </w:r>
      <w:r w:rsidR="00F4736F" w:rsidRPr="00B84387">
        <w:rPr>
          <w:rFonts w:ascii="Times New Roman" w:hAnsi="Times New Roman" w:cs="Times New Roman"/>
          <w:sz w:val="24"/>
          <w:szCs w:val="24"/>
        </w:rPr>
        <w:t xml:space="preserve">, </w:t>
      </w:r>
      <w:r w:rsidR="00FC2CDC" w:rsidRPr="00B84387">
        <w:rPr>
          <w:rFonts w:ascii="Times New Roman" w:hAnsi="Times New Roman" w:cs="Times New Roman"/>
          <w:sz w:val="24"/>
          <w:szCs w:val="24"/>
        </w:rPr>
        <w:t>sex</w:t>
      </w:r>
      <w:r w:rsidR="00F4736F" w:rsidRPr="00B84387">
        <w:rPr>
          <w:rFonts w:ascii="Times New Roman" w:hAnsi="Times New Roman" w:cs="Times New Roman"/>
          <w:sz w:val="24"/>
          <w:szCs w:val="24"/>
        </w:rPr>
        <w:t>, and age</w:t>
      </w:r>
      <w:r w:rsidRPr="00B84387">
        <w:rPr>
          <w:rFonts w:ascii="Times New Roman" w:hAnsi="Times New Roman" w:cs="Times New Roman"/>
          <w:sz w:val="24"/>
          <w:szCs w:val="24"/>
        </w:rPr>
        <w:t xml:space="preserve">. </w:t>
      </w:r>
      <w:r w:rsidR="0011523E" w:rsidRPr="00B84387">
        <w:rPr>
          <w:rFonts w:ascii="Times New Roman" w:hAnsi="Times New Roman" w:cs="Times New Roman"/>
          <w:sz w:val="24"/>
          <w:szCs w:val="24"/>
        </w:rPr>
        <w:t xml:space="preserve">One interpretation of these findings is </w:t>
      </w:r>
      <w:r w:rsidR="00006F0A" w:rsidRPr="00B84387">
        <w:rPr>
          <w:rFonts w:ascii="Times New Roman" w:hAnsi="Times New Roman" w:cs="Times New Roman"/>
          <w:sz w:val="24"/>
          <w:szCs w:val="24"/>
        </w:rPr>
        <w:t xml:space="preserve">that </w:t>
      </w:r>
      <w:r w:rsidRPr="00B84387">
        <w:rPr>
          <w:rFonts w:ascii="Times New Roman" w:hAnsi="Times New Roman" w:cs="Times New Roman"/>
          <w:sz w:val="24"/>
          <w:szCs w:val="24"/>
        </w:rPr>
        <w:t>the causes underlying deaths of despair among White men in young and middle adulthood may have wide-reaching impacts on population health</w:t>
      </w:r>
      <w:r w:rsidR="0011523E" w:rsidRPr="00B84387">
        <w:rPr>
          <w:rFonts w:ascii="Times New Roman" w:hAnsi="Times New Roman" w:cs="Times New Roman"/>
          <w:sz w:val="24"/>
          <w:szCs w:val="24"/>
        </w:rPr>
        <w:t xml:space="preserve">, </w:t>
      </w:r>
      <w:r w:rsidRPr="00B84387">
        <w:rPr>
          <w:rFonts w:ascii="Times New Roman" w:hAnsi="Times New Roman" w:cs="Times New Roman"/>
          <w:sz w:val="24"/>
          <w:szCs w:val="24"/>
        </w:rPr>
        <w:t xml:space="preserve">across dimensions of race and sex. These increases could be attributable to broad, documented psychosocial stress in the aftermath of the Great Recession, as well as substance-use-related morbidity as the opioid epidemic began to accelerate starting in 2010 and continuing through the present day </w:t>
      </w:r>
      <w:r w:rsidR="000C67A7" w:rsidRPr="00B84387">
        <w:rPr>
          <w:rFonts w:ascii="Times New Roman" w:hAnsi="Times New Roman" w:cs="Times New Roman"/>
          <w:kern w:val="0"/>
          <w:sz w:val="24"/>
          <w:szCs w:val="24"/>
        </w:rPr>
        <w:t>(87–91)</w:t>
      </w:r>
      <w:r w:rsidR="00852B18" w:rsidRPr="00B84387">
        <w:rPr>
          <w:rFonts w:ascii="Times New Roman" w:hAnsi="Times New Roman" w:cs="Times New Roman"/>
          <w:sz w:val="24"/>
          <w:szCs w:val="24"/>
        </w:rPr>
        <w:t>.</w:t>
      </w:r>
      <w:r w:rsidR="0011523E" w:rsidRPr="00B84387">
        <w:rPr>
          <w:rFonts w:ascii="Times New Roman" w:hAnsi="Times New Roman" w:cs="Times New Roman"/>
          <w:sz w:val="24"/>
          <w:szCs w:val="24"/>
        </w:rPr>
        <w:t xml:space="preserve"> </w:t>
      </w:r>
      <w:r w:rsidR="004C323A" w:rsidRPr="00B84387">
        <w:rPr>
          <w:rFonts w:ascii="Times New Roman" w:hAnsi="Times New Roman" w:cs="Times New Roman"/>
          <w:sz w:val="24"/>
          <w:szCs w:val="24"/>
        </w:rPr>
        <w:t xml:space="preserve">Our results </w:t>
      </w:r>
      <w:r w:rsidR="0011523E" w:rsidRPr="00B84387">
        <w:rPr>
          <w:rFonts w:ascii="Times New Roman" w:hAnsi="Times New Roman" w:cs="Times New Roman"/>
          <w:sz w:val="24"/>
          <w:szCs w:val="24"/>
        </w:rPr>
        <w:t xml:space="preserve">could also explain underlying vulnerabilities that would coincide with poorer population health outcomes relative to other high-GDP countries, including U.S.-specific stagnation in life expectancy trends and slower recovery of health trajectories after the COVID-19 pandemic. </w:t>
      </w:r>
      <w:r w:rsidR="004C323A" w:rsidRPr="00B84387">
        <w:rPr>
          <w:rFonts w:ascii="Times New Roman" w:hAnsi="Times New Roman" w:cs="Times New Roman"/>
          <w:sz w:val="24"/>
          <w:szCs w:val="24"/>
        </w:rPr>
        <w:t>For example, t</w:t>
      </w:r>
      <w:r w:rsidR="00EE6FFF" w:rsidRPr="00B84387">
        <w:rPr>
          <w:rFonts w:ascii="Times New Roman" w:hAnsi="Times New Roman" w:cs="Times New Roman"/>
          <w:sz w:val="24"/>
          <w:szCs w:val="24"/>
        </w:rPr>
        <w:t xml:space="preserve">he Great Recession is hypothesized to have had disproportionate health impacts on the American population relative to their European counterparts, partly due to stronger safety nets which buffered the worst impacts in those countries </w:t>
      </w:r>
      <w:r w:rsidR="000C67A7" w:rsidRPr="00B84387">
        <w:rPr>
          <w:rFonts w:ascii="Times New Roman" w:hAnsi="Times New Roman" w:cs="Times New Roman"/>
          <w:sz w:val="24"/>
          <w:szCs w:val="24"/>
        </w:rPr>
        <w:t>(92)</w:t>
      </w:r>
      <w:r w:rsidR="00EE6FFF" w:rsidRPr="00B84387">
        <w:rPr>
          <w:rFonts w:ascii="Times New Roman" w:hAnsi="Times New Roman" w:cs="Times New Roman"/>
          <w:sz w:val="24"/>
          <w:szCs w:val="24"/>
        </w:rPr>
        <w:t xml:space="preserve">. </w:t>
      </w:r>
      <w:r w:rsidR="004400E7" w:rsidRPr="00B84387">
        <w:rPr>
          <w:rFonts w:ascii="Times New Roman" w:hAnsi="Times New Roman" w:cs="Times New Roman"/>
          <w:sz w:val="24"/>
          <w:szCs w:val="24"/>
        </w:rPr>
        <w:t xml:space="preserve">The opioid epidemic is almost entirely confined to the American context, driven </w:t>
      </w:r>
      <w:r w:rsidR="00572D11" w:rsidRPr="00B84387">
        <w:rPr>
          <w:rFonts w:ascii="Times New Roman" w:hAnsi="Times New Roman" w:cs="Times New Roman"/>
          <w:sz w:val="24"/>
          <w:szCs w:val="24"/>
        </w:rPr>
        <w:t xml:space="preserve">by both the overprescription of legal pain medication and associated increases in </w:t>
      </w:r>
      <w:r w:rsidR="00D26182" w:rsidRPr="00B84387">
        <w:rPr>
          <w:rFonts w:ascii="Times New Roman" w:hAnsi="Times New Roman" w:cs="Times New Roman"/>
          <w:sz w:val="24"/>
          <w:szCs w:val="24"/>
        </w:rPr>
        <w:t xml:space="preserve">the use of </w:t>
      </w:r>
      <w:r w:rsidR="00572D11" w:rsidRPr="00B84387">
        <w:rPr>
          <w:rFonts w:ascii="Times New Roman" w:hAnsi="Times New Roman" w:cs="Times New Roman"/>
          <w:sz w:val="24"/>
          <w:szCs w:val="24"/>
        </w:rPr>
        <w:t xml:space="preserve">heroin use </w:t>
      </w:r>
      <w:r w:rsidR="00D26182" w:rsidRPr="00B84387">
        <w:rPr>
          <w:rFonts w:ascii="Times New Roman" w:hAnsi="Times New Roman" w:cs="Times New Roman"/>
          <w:sz w:val="24"/>
          <w:szCs w:val="24"/>
        </w:rPr>
        <w:t xml:space="preserve">and illicit synthetic opioids </w:t>
      </w:r>
      <w:r w:rsidR="000C67A7" w:rsidRPr="00B84387">
        <w:rPr>
          <w:rFonts w:ascii="Times New Roman" w:hAnsi="Times New Roman" w:cs="Times New Roman"/>
          <w:sz w:val="24"/>
          <w:szCs w:val="24"/>
        </w:rPr>
        <w:t>(93,94)</w:t>
      </w:r>
      <w:r w:rsidR="00572D11" w:rsidRPr="00B84387">
        <w:rPr>
          <w:rFonts w:ascii="Times New Roman" w:hAnsi="Times New Roman" w:cs="Times New Roman"/>
          <w:sz w:val="24"/>
          <w:szCs w:val="24"/>
        </w:rPr>
        <w:t xml:space="preserve">. </w:t>
      </w:r>
    </w:p>
    <w:p w14:paraId="07C63B81" w14:textId="6344EB5A" w:rsidR="004E174B" w:rsidRPr="00B84387" w:rsidRDefault="00A262B9" w:rsidP="007B613C">
      <w:pPr>
        <w:ind w:firstLine="720"/>
        <w:rPr>
          <w:rFonts w:ascii="Times New Roman" w:hAnsi="Times New Roman" w:cs="Times New Roman"/>
          <w:sz w:val="24"/>
          <w:szCs w:val="24"/>
        </w:rPr>
      </w:pPr>
      <w:r w:rsidRPr="00B84387">
        <w:rPr>
          <w:rFonts w:ascii="Times New Roman" w:hAnsi="Times New Roman" w:cs="Times New Roman"/>
          <w:sz w:val="24"/>
          <w:szCs w:val="24"/>
        </w:rPr>
        <w:lastRenderedPageBreak/>
        <w:t>Our findings have implications for future research. First,</w:t>
      </w:r>
      <w:r w:rsidR="004E174B" w:rsidRPr="00B84387">
        <w:rPr>
          <w:rFonts w:ascii="Times New Roman" w:hAnsi="Times New Roman" w:cs="Times New Roman"/>
          <w:sz w:val="24"/>
          <w:szCs w:val="24"/>
        </w:rPr>
        <w:t xml:space="preserve"> greater attention to the non-fatal impacts of the Great Recession and opioid epidemic is warranted</w:t>
      </w:r>
      <w:r w:rsidR="00B07BB1" w:rsidRPr="00B84387">
        <w:rPr>
          <w:rFonts w:ascii="Times New Roman" w:hAnsi="Times New Roman" w:cs="Times New Roman"/>
          <w:sz w:val="24"/>
          <w:szCs w:val="24"/>
        </w:rPr>
        <w:t xml:space="preserve"> –</w:t>
      </w:r>
      <w:r w:rsidR="004E174B" w:rsidRPr="00B84387">
        <w:rPr>
          <w:rFonts w:ascii="Times New Roman" w:hAnsi="Times New Roman" w:cs="Times New Roman"/>
          <w:sz w:val="24"/>
          <w:szCs w:val="24"/>
        </w:rPr>
        <w:t xml:space="preserve"> especially</w:t>
      </w:r>
      <w:r w:rsidR="00B07BB1" w:rsidRPr="00B84387">
        <w:rPr>
          <w:rFonts w:ascii="Times New Roman" w:hAnsi="Times New Roman" w:cs="Times New Roman"/>
          <w:sz w:val="24"/>
          <w:szCs w:val="24"/>
        </w:rPr>
        <w:t xml:space="preserve"> </w:t>
      </w:r>
      <w:r w:rsidR="004E174B" w:rsidRPr="00B84387">
        <w:rPr>
          <w:rFonts w:ascii="Times New Roman" w:hAnsi="Times New Roman" w:cs="Times New Roman"/>
          <w:sz w:val="24"/>
          <w:szCs w:val="24"/>
        </w:rPr>
        <w:t>among minoritized population groups who may experience substantial but non-fatal health decrements stemming from these exposures. Second,</w:t>
      </w:r>
      <w:r w:rsidRPr="00B84387">
        <w:rPr>
          <w:rFonts w:ascii="Times New Roman" w:hAnsi="Times New Roman" w:cs="Times New Roman"/>
          <w:sz w:val="24"/>
          <w:szCs w:val="24"/>
        </w:rPr>
        <w:t xml:space="preserve"> r</w:t>
      </w:r>
      <w:r w:rsidR="001531AA" w:rsidRPr="00B84387">
        <w:rPr>
          <w:rFonts w:ascii="Times New Roman" w:hAnsi="Times New Roman" w:cs="Times New Roman"/>
          <w:sz w:val="24"/>
          <w:szCs w:val="24"/>
        </w:rPr>
        <w:t>esearch is needed to evaluate the extent to which period trends in population aging are attributable to changes in the distribution of social and environmental stressors over time</w:t>
      </w:r>
      <w:r w:rsidR="004D0C42" w:rsidRPr="00B84387">
        <w:rPr>
          <w:rFonts w:ascii="Times New Roman" w:hAnsi="Times New Roman" w:cs="Times New Roman"/>
          <w:sz w:val="24"/>
          <w:szCs w:val="24"/>
        </w:rPr>
        <w:t xml:space="preserve"> –</w:t>
      </w:r>
      <w:r w:rsidR="001531AA" w:rsidRPr="00B84387">
        <w:rPr>
          <w:rFonts w:ascii="Times New Roman" w:hAnsi="Times New Roman" w:cs="Times New Roman"/>
          <w:sz w:val="24"/>
          <w:szCs w:val="24"/>
        </w:rPr>
        <w:t xml:space="preserve"> particularly</w:t>
      </w:r>
      <w:r w:rsidR="004D0C42" w:rsidRPr="00B84387">
        <w:rPr>
          <w:rFonts w:ascii="Times New Roman" w:hAnsi="Times New Roman" w:cs="Times New Roman"/>
          <w:sz w:val="24"/>
          <w:szCs w:val="24"/>
        </w:rPr>
        <w:t xml:space="preserve"> </w:t>
      </w:r>
      <w:r w:rsidR="001531AA" w:rsidRPr="00B84387">
        <w:rPr>
          <w:rFonts w:ascii="Times New Roman" w:hAnsi="Times New Roman" w:cs="Times New Roman"/>
          <w:sz w:val="24"/>
          <w:szCs w:val="24"/>
        </w:rPr>
        <w:t xml:space="preserve">those driving increases in mortality in the late 2000s – as well as the extent to which these factors contribute to the persistence of racial disparities in healthy aging over time. </w:t>
      </w:r>
      <w:r w:rsidR="004E174B" w:rsidRPr="00B84387">
        <w:rPr>
          <w:rFonts w:ascii="Times New Roman" w:hAnsi="Times New Roman" w:cs="Times New Roman"/>
          <w:sz w:val="24"/>
          <w:szCs w:val="24"/>
        </w:rPr>
        <w:t xml:space="preserve">Finally, comparisons using data from other high-GDP countries might be used to assess differences in aging trajectories attributable to different social policy environments over this time period. </w:t>
      </w:r>
    </w:p>
    <w:p w14:paraId="1102253C" w14:textId="1918D24F" w:rsidR="009A6E95" w:rsidRPr="00B84387" w:rsidRDefault="0066663A" w:rsidP="00E00B26">
      <w:pPr>
        <w:ind w:firstLine="720"/>
        <w:rPr>
          <w:rFonts w:ascii="Times New Roman" w:hAnsi="Times New Roman" w:cs="Times New Roman"/>
          <w:sz w:val="24"/>
          <w:szCs w:val="24"/>
        </w:rPr>
      </w:pPr>
      <w:r w:rsidRPr="00B84387">
        <w:rPr>
          <w:rFonts w:ascii="Times New Roman" w:hAnsi="Times New Roman" w:cs="Times New Roman"/>
          <w:sz w:val="24"/>
          <w:szCs w:val="24"/>
        </w:rPr>
        <w:t xml:space="preserve">We acknowledge limitations. </w:t>
      </w:r>
      <w:r w:rsidR="004D43EC" w:rsidRPr="00B84387">
        <w:rPr>
          <w:rFonts w:ascii="Times New Roman" w:hAnsi="Times New Roman" w:cs="Times New Roman"/>
          <w:sz w:val="24"/>
          <w:szCs w:val="24"/>
        </w:rPr>
        <w:t xml:space="preserve">There is no gold standard measure of biological aging </w:t>
      </w:r>
      <w:r w:rsidR="00E1597B" w:rsidRPr="00B84387">
        <w:rPr>
          <w:rFonts w:ascii="Times New Roman" w:hAnsi="Times New Roman" w:cs="Times New Roman"/>
          <w:sz w:val="24"/>
          <w:szCs w:val="24"/>
        </w:rPr>
        <w:t>(55)</w:t>
      </w:r>
      <w:r w:rsidR="004D43EC" w:rsidRPr="00B84387">
        <w:rPr>
          <w:rFonts w:ascii="Times New Roman" w:hAnsi="Times New Roman" w:cs="Times New Roman"/>
          <w:sz w:val="24"/>
          <w:szCs w:val="24"/>
        </w:rPr>
        <w:t xml:space="preserve">. Our </w:t>
      </w:r>
      <w:r w:rsidR="00AF4B98" w:rsidRPr="00B84387">
        <w:rPr>
          <w:rFonts w:ascii="Times New Roman" w:hAnsi="Times New Roman" w:cs="Times New Roman"/>
          <w:sz w:val="24"/>
          <w:szCs w:val="24"/>
        </w:rPr>
        <w:t>results</w:t>
      </w:r>
      <w:r w:rsidR="004D43EC" w:rsidRPr="00B84387">
        <w:rPr>
          <w:rFonts w:ascii="Times New Roman" w:hAnsi="Times New Roman" w:cs="Times New Roman"/>
          <w:sz w:val="24"/>
          <w:szCs w:val="24"/>
        </w:rPr>
        <w:t xml:space="preserve"> </w:t>
      </w:r>
      <w:r w:rsidR="00AF4B98" w:rsidRPr="00B84387">
        <w:rPr>
          <w:rFonts w:ascii="Times New Roman" w:hAnsi="Times New Roman" w:cs="Times New Roman"/>
          <w:sz w:val="24"/>
          <w:szCs w:val="24"/>
        </w:rPr>
        <w:t xml:space="preserve">observing period increases in biological aging </w:t>
      </w:r>
      <w:r w:rsidR="004D43EC" w:rsidRPr="00B84387">
        <w:rPr>
          <w:rFonts w:ascii="Times New Roman" w:hAnsi="Times New Roman" w:cs="Times New Roman"/>
          <w:sz w:val="24"/>
          <w:szCs w:val="24"/>
        </w:rPr>
        <w:t>could be specific to the measures we analyzed. However</w:t>
      </w:r>
      <w:r w:rsidR="006C6CE7" w:rsidRPr="00B84387">
        <w:rPr>
          <w:rFonts w:ascii="Times New Roman" w:hAnsi="Times New Roman" w:cs="Times New Roman"/>
          <w:sz w:val="24"/>
          <w:szCs w:val="24"/>
        </w:rPr>
        <w:t>, w</w:t>
      </w:r>
      <w:r w:rsidR="004A1CF2" w:rsidRPr="00B84387">
        <w:rPr>
          <w:rFonts w:ascii="Times New Roman" w:hAnsi="Times New Roman" w:cs="Times New Roman"/>
          <w:sz w:val="24"/>
          <w:szCs w:val="24"/>
        </w:rPr>
        <w:t xml:space="preserve">e observed similar social gradients and directionally consistent estimates of APC effects using an alternative measure of biological aging, Homeostatic Dysregulation. </w:t>
      </w:r>
      <w:r w:rsidR="00951A50" w:rsidRPr="00B84387">
        <w:rPr>
          <w:rFonts w:ascii="Times New Roman" w:hAnsi="Times New Roman" w:cs="Times New Roman"/>
          <w:sz w:val="24"/>
          <w:szCs w:val="24"/>
        </w:rPr>
        <w:t xml:space="preserve">Differences in the relative magnitude of period and cohort effects may be attributable to </w:t>
      </w:r>
      <w:r w:rsidR="005041D8" w:rsidRPr="00B84387">
        <w:rPr>
          <w:rFonts w:ascii="Times New Roman" w:hAnsi="Times New Roman" w:cs="Times New Roman"/>
          <w:sz w:val="24"/>
          <w:szCs w:val="24"/>
        </w:rPr>
        <w:t xml:space="preserve">lower sensitivity of the Homeostatic Dysregulation measure to changes in biological aging over time, </w:t>
      </w:r>
      <w:r w:rsidR="00951A50" w:rsidRPr="00B84387">
        <w:rPr>
          <w:rFonts w:ascii="Times New Roman" w:hAnsi="Times New Roman" w:cs="Times New Roman"/>
          <w:sz w:val="24"/>
          <w:szCs w:val="24"/>
        </w:rPr>
        <w:t>the relative weighting of individual biomarkers within predictive algorithms, or to differences in the outcomes on which the algorithms are trained.</w:t>
      </w:r>
      <w:r w:rsidR="005041D8" w:rsidRPr="00B84387">
        <w:rPr>
          <w:rFonts w:ascii="Times New Roman" w:hAnsi="Times New Roman" w:cs="Times New Roman"/>
          <w:sz w:val="24"/>
          <w:szCs w:val="24"/>
        </w:rPr>
        <w:t xml:space="preserve"> </w:t>
      </w:r>
      <w:r w:rsidR="00527693" w:rsidRPr="00B84387">
        <w:rPr>
          <w:rFonts w:ascii="Times New Roman" w:hAnsi="Times New Roman" w:cs="Times New Roman"/>
          <w:sz w:val="24"/>
          <w:szCs w:val="24"/>
        </w:rPr>
        <w:t xml:space="preserve">Comparative analysis using other biological substrates (e.g., DNA methylation), once made available, </w:t>
      </w:r>
      <w:r w:rsidR="00951A50" w:rsidRPr="00B84387">
        <w:rPr>
          <w:rFonts w:ascii="Times New Roman" w:hAnsi="Times New Roman" w:cs="Times New Roman"/>
          <w:sz w:val="24"/>
          <w:szCs w:val="24"/>
        </w:rPr>
        <w:t xml:space="preserve">will </w:t>
      </w:r>
      <w:r w:rsidR="004217D9" w:rsidRPr="00B84387">
        <w:rPr>
          <w:rFonts w:ascii="Times New Roman" w:hAnsi="Times New Roman" w:cs="Times New Roman"/>
          <w:sz w:val="24"/>
          <w:szCs w:val="24"/>
        </w:rPr>
        <w:t>provide</w:t>
      </w:r>
      <w:r w:rsidR="00993113" w:rsidRPr="00B84387">
        <w:rPr>
          <w:rFonts w:ascii="Times New Roman" w:hAnsi="Times New Roman" w:cs="Times New Roman"/>
          <w:sz w:val="24"/>
          <w:szCs w:val="24"/>
        </w:rPr>
        <w:t xml:space="preserve"> additional</w:t>
      </w:r>
      <w:r w:rsidR="004217D9" w:rsidRPr="00B84387">
        <w:rPr>
          <w:rFonts w:ascii="Times New Roman" w:hAnsi="Times New Roman" w:cs="Times New Roman"/>
          <w:sz w:val="24"/>
          <w:szCs w:val="24"/>
        </w:rPr>
        <w:t xml:space="preserve"> insight on the interpretation of these findings</w:t>
      </w:r>
      <w:r w:rsidR="00527693" w:rsidRPr="00B84387">
        <w:rPr>
          <w:rFonts w:ascii="Times New Roman" w:hAnsi="Times New Roman" w:cs="Times New Roman"/>
          <w:sz w:val="24"/>
          <w:szCs w:val="24"/>
        </w:rPr>
        <w:t xml:space="preserve">. </w:t>
      </w:r>
      <w:r w:rsidRPr="00B84387">
        <w:rPr>
          <w:rFonts w:ascii="Times New Roman" w:hAnsi="Times New Roman" w:cs="Times New Roman"/>
          <w:sz w:val="24"/>
          <w:szCs w:val="24"/>
        </w:rPr>
        <w:t>We used cross-sectional panel data</w:t>
      </w:r>
      <w:r w:rsidR="00F0541E" w:rsidRPr="00B84387">
        <w:rPr>
          <w:rFonts w:ascii="Times New Roman" w:hAnsi="Times New Roman" w:cs="Times New Roman"/>
          <w:sz w:val="24"/>
          <w:szCs w:val="24"/>
        </w:rPr>
        <w:t xml:space="preserve"> from 10 waves of the continuous NHANES; small cell-sizes</w:t>
      </w:r>
      <w:r w:rsidR="00126BCE" w:rsidRPr="00B84387">
        <w:rPr>
          <w:rFonts w:ascii="Times New Roman" w:hAnsi="Times New Roman" w:cs="Times New Roman"/>
          <w:sz w:val="24"/>
          <w:szCs w:val="24"/>
        </w:rPr>
        <w:t xml:space="preserve"> in some race-sex strata were found at </w:t>
      </w:r>
      <w:r w:rsidR="00735A19" w:rsidRPr="00B84387">
        <w:rPr>
          <w:rFonts w:ascii="Times New Roman" w:hAnsi="Times New Roman" w:cs="Times New Roman"/>
          <w:sz w:val="24"/>
          <w:szCs w:val="24"/>
        </w:rPr>
        <w:t>the right tail of the chronological</w:t>
      </w:r>
      <w:r w:rsidR="00126BCE" w:rsidRPr="00B84387">
        <w:rPr>
          <w:rFonts w:ascii="Times New Roman" w:hAnsi="Times New Roman" w:cs="Times New Roman"/>
          <w:sz w:val="24"/>
          <w:szCs w:val="24"/>
        </w:rPr>
        <w:t xml:space="preserve"> age distribution</w:t>
      </w:r>
      <w:r w:rsidR="008105E1" w:rsidRPr="00B84387">
        <w:rPr>
          <w:rFonts w:ascii="Times New Roman" w:hAnsi="Times New Roman" w:cs="Times New Roman"/>
          <w:sz w:val="24"/>
          <w:szCs w:val="24"/>
        </w:rPr>
        <w:t xml:space="preserve"> (smallest cell n=</w:t>
      </w:r>
      <w:r w:rsidR="00735A19" w:rsidRPr="00B84387">
        <w:rPr>
          <w:rFonts w:ascii="Times New Roman" w:hAnsi="Times New Roman" w:cs="Times New Roman"/>
          <w:sz w:val="24"/>
          <w:szCs w:val="24"/>
        </w:rPr>
        <w:t>8</w:t>
      </w:r>
      <w:r w:rsidR="008105E1" w:rsidRPr="00B84387">
        <w:rPr>
          <w:rFonts w:ascii="Times New Roman" w:hAnsi="Times New Roman" w:cs="Times New Roman"/>
          <w:sz w:val="24"/>
          <w:szCs w:val="24"/>
        </w:rPr>
        <w:t>)</w:t>
      </w:r>
      <w:r w:rsidR="00126BCE" w:rsidRPr="00B84387">
        <w:rPr>
          <w:rFonts w:ascii="Times New Roman" w:hAnsi="Times New Roman" w:cs="Times New Roman"/>
          <w:sz w:val="24"/>
          <w:szCs w:val="24"/>
        </w:rPr>
        <w:t xml:space="preserve">. This was </w:t>
      </w:r>
      <w:r w:rsidR="00F0541E" w:rsidRPr="00B84387">
        <w:rPr>
          <w:rFonts w:ascii="Times New Roman" w:hAnsi="Times New Roman" w:cs="Times New Roman"/>
          <w:sz w:val="24"/>
          <w:szCs w:val="24"/>
        </w:rPr>
        <w:t xml:space="preserve">the result of data on the youngest and oldest birth cohorts being available only in the first or last waves of data collection. We employed a Bayesian multilevel modelling approach </w:t>
      </w:r>
      <w:r w:rsidR="0093411E" w:rsidRPr="00B84387">
        <w:rPr>
          <w:rFonts w:ascii="Times New Roman" w:hAnsi="Times New Roman" w:cs="Times New Roman"/>
          <w:sz w:val="24"/>
          <w:szCs w:val="24"/>
        </w:rPr>
        <w:t>in order to maximize the use of available data in our sample, and modelled age as a continuous term</w:t>
      </w:r>
      <w:r w:rsidR="0004796C" w:rsidRPr="00B84387">
        <w:rPr>
          <w:rFonts w:ascii="Times New Roman" w:hAnsi="Times New Roman" w:cs="Times New Roman"/>
          <w:sz w:val="24"/>
          <w:szCs w:val="24"/>
        </w:rPr>
        <w:t>. However, repeated analysis using alternative methods relying on aggregate date (e.g. the Intrinsic Estimator and Median Polish procedure), and specifying age as a factor variable, yielded similar results.</w:t>
      </w:r>
      <w:r w:rsidR="003563EB" w:rsidRPr="00B84387">
        <w:rPr>
          <w:rFonts w:ascii="Times New Roman" w:hAnsi="Times New Roman" w:cs="Times New Roman"/>
          <w:sz w:val="24"/>
          <w:szCs w:val="24"/>
        </w:rPr>
        <w:t xml:space="preserve"> </w:t>
      </w:r>
      <w:r w:rsidR="00735A19" w:rsidRPr="00B84387">
        <w:rPr>
          <w:rFonts w:ascii="Times New Roman" w:hAnsi="Times New Roman" w:cs="Times New Roman"/>
          <w:sz w:val="24"/>
          <w:szCs w:val="24"/>
        </w:rPr>
        <w:t xml:space="preserve">Finally, </w:t>
      </w:r>
      <w:r w:rsidR="00126BCE" w:rsidRPr="00B84387">
        <w:rPr>
          <w:rFonts w:ascii="Times New Roman" w:hAnsi="Times New Roman" w:cs="Times New Roman"/>
          <w:sz w:val="24"/>
          <w:szCs w:val="24"/>
        </w:rPr>
        <w:t xml:space="preserve">APC decomposition methods are fundamentally descriptive: they cannot identify the drivers of observed age, period, and cohort trends, nor of observed disparities in biological aging. Further research is needed to assess drivers of potential age and period changes in biological aging, </w:t>
      </w:r>
      <w:r w:rsidR="009A6E95" w:rsidRPr="00B84387">
        <w:rPr>
          <w:rFonts w:ascii="Times New Roman" w:hAnsi="Times New Roman" w:cs="Times New Roman"/>
          <w:sz w:val="24"/>
          <w:szCs w:val="24"/>
        </w:rPr>
        <w:t>and the impact of these drivers on observed disparities in healthy aging.</w:t>
      </w:r>
    </w:p>
    <w:p w14:paraId="6A5A1CA3" w14:textId="162927DD" w:rsidR="002D6A0E" w:rsidRPr="00B84387" w:rsidRDefault="005A5DE8" w:rsidP="00E00B26">
      <w:pPr>
        <w:ind w:firstLine="720"/>
        <w:rPr>
          <w:rFonts w:ascii="Times New Roman" w:hAnsi="Times New Roman" w:cs="Times New Roman"/>
          <w:sz w:val="24"/>
          <w:szCs w:val="24"/>
        </w:rPr>
      </w:pPr>
      <w:r w:rsidRPr="00B84387">
        <w:rPr>
          <w:rFonts w:ascii="Times New Roman" w:hAnsi="Times New Roman" w:cs="Times New Roman"/>
          <w:sz w:val="24"/>
          <w:szCs w:val="24"/>
        </w:rPr>
        <w:t>Within the bounds of these limitations, t</w:t>
      </w:r>
      <w:r w:rsidR="009A6E95" w:rsidRPr="00B84387">
        <w:rPr>
          <w:rFonts w:ascii="Times New Roman" w:hAnsi="Times New Roman" w:cs="Times New Roman"/>
          <w:sz w:val="24"/>
          <w:szCs w:val="24"/>
        </w:rPr>
        <w:t>his study represents a proof-of-concept application of biological aging measure</w:t>
      </w:r>
      <w:r w:rsidR="00D30109" w:rsidRPr="00B84387">
        <w:rPr>
          <w:rFonts w:ascii="Times New Roman" w:hAnsi="Times New Roman" w:cs="Times New Roman"/>
          <w:sz w:val="24"/>
          <w:szCs w:val="24"/>
        </w:rPr>
        <w:t>s</w:t>
      </w:r>
      <w:r w:rsidR="009A6E95" w:rsidRPr="00B84387">
        <w:rPr>
          <w:rFonts w:ascii="Times New Roman" w:hAnsi="Times New Roman" w:cs="Times New Roman"/>
          <w:sz w:val="24"/>
          <w:szCs w:val="24"/>
        </w:rPr>
        <w:t xml:space="preserve"> to the study of population health. </w:t>
      </w:r>
      <w:r w:rsidR="00D30109" w:rsidRPr="00B84387">
        <w:rPr>
          <w:rFonts w:ascii="Times New Roman" w:hAnsi="Times New Roman" w:cs="Times New Roman"/>
          <w:sz w:val="24"/>
          <w:szCs w:val="24"/>
        </w:rPr>
        <w:t xml:space="preserve">Results of analysis using these measures </w:t>
      </w:r>
      <w:r w:rsidR="00962981" w:rsidRPr="00B84387">
        <w:rPr>
          <w:rFonts w:ascii="Times New Roman" w:hAnsi="Times New Roman" w:cs="Times New Roman"/>
          <w:sz w:val="24"/>
          <w:szCs w:val="24"/>
        </w:rPr>
        <w:t xml:space="preserve">complement traditional </w:t>
      </w:r>
      <w:r w:rsidR="00D30109" w:rsidRPr="00B84387">
        <w:rPr>
          <w:rFonts w:ascii="Times New Roman" w:hAnsi="Times New Roman" w:cs="Times New Roman"/>
          <w:sz w:val="24"/>
          <w:szCs w:val="24"/>
        </w:rPr>
        <w:t>indicators</w:t>
      </w:r>
      <w:r w:rsidR="00962981" w:rsidRPr="00B84387">
        <w:rPr>
          <w:rFonts w:ascii="Times New Roman" w:hAnsi="Times New Roman" w:cs="Times New Roman"/>
          <w:sz w:val="24"/>
          <w:szCs w:val="24"/>
        </w:rPr>
        <w:t xml:space="preserve"> of population health and healthy aging</w:t>
      </w:r>
      <w:r w:rsidR="00E31161" w:rsidRPr="00B84387">
        <w:rPr>
          <w:rFonts w:ascii="Times New Roman" w:hAnsi="Times New Roman" w:cs="Times New Roman"/>
          <w:sz w:val="24"/>
          <w:szCs w:val="24"/>
        </w:rPr>
        <w:t>,</w:t>
      </w:r>
      <w:r w:rsidR="00962981" w:rsidRPr="00B84387">
        <w:rPr>
          <w:rFonts w:ascii="Times New Roman" w:hAnsi="Times New Roman" w:cs="Times New Roman"/>
          <w:sz w:val="24"/>
          <w:szCs w:val="24"/>
        </w:rPr>
        <w:t xml:space="preserve"> like life expectancy,</w:t>
      </w:r>
      <w:r w:rsidR="00E31161" w:rsidRPr="00B84387">
        <w:rPr>
          <w:rFonts w:ascii="Times New Roman" w:hAnsi="Times New Roman" w:cs="Times New Roman"/>
          <w:sz w:val="24"/>
          <w:szCs w:val="24"/>
        </w:rPr>
        <w:t xml:space="preserve"> by providing direct measures of health status in living people. </w:t>
      </w:r>
      <w:r w:rsidR="00D30109" w:rsidRPr="00B84387">
        <w:rPr>
          <w:rFonts w:ascii="Times New Roman" w:hAnsi="Times New Roman" w:cs="Times New Roman"/>
          <w:sz w:val="24"/>
          <w:szCs w:val="24"/>
        </w:rPr>
        <w:t xml:space="preserve">To the extent that </w:t>
      </w:r>
      <w:r w:rsidR="00E014B6" w:rsidRPr="00B84387">
        <w:rPr>
          <w:rFonts w:ascii="Times New Roman" w:hAnsi="Times New Roman" w:cs="Times New Roman"/>
          <w:sz w:val="24"/>
          <w:szCs w:val="24"/>
        </w:rPr>
        <w:t xml:space="preserve">latent </w:t>
      </w:r>
      <w:r w:rsidR="00D30109" w:rsidRPr="00B84387">
        <w:rPr>
          <w:rFonts w:ascii="Times New Roman" w:hAnsi="Times New Roman" w:cs="Times New Roman"/>
          <w:sz w:val="24"/>
          <w:szCs w:val="24"/>
        </w:rPr>
        <w:t xml:space="preserve">biological processes </w:t>
      </w:r>
      <w:r w:rsidR="00E014B6" w:rsidRPr="00B84387">
        <w:rPr>
          <w:rFonts w:ascii="Times New Roman" w:hAnsi="Times New Roman" w:cs="Times New Roman"/>
          <w:sz w:val="24"/>
          <w:szCs w:val="24"/>
        </w:rPr>
        <w:t xml:space="preserve">of aging </w:t>
      </w:r>
      <w:r w:rsidR="00D30109" w:rsidRPr="00B84387">
        <w:rPr>
          <w:rFonts w:ascii="Times New Roman" w:hAnsi="Times New Roman" w:cs="Times New Roman"/>
          <w:sz w:val="24"/>
          <w:szCs w:val="24"/>
        </w:rPr>
        <w:t xml:space="preserve">drive disease and disability in later life, </w:t>
      </w:r>
      <w:r w:rsidR="004E174B" w:rsidRPr="00B84387">
        <w:rPr>
          <w:rFonts w:ascii="Times New Roman" w:hAnsi="Times New Roman" w:cs="Times New Roman"/>
          <w:sz w:val="24"/>
          <w:szCs w:val="24"/>
        </w:rPr>
        <w:t xml:space="preserve">collection of biological information to measure population aging outcomes may allow for earlier </w:t>
      </w:r>
      <w:r w:rsidR="00D30109" w:rsidRPr="00B84387">
        <w:rPr>
          <w:rFonts w:ascii="Times New Roman" w:hAnsi="Times New Roman" w:cs="Times New Roman"/>
          <w:sz w:val="24"/>
          <w:szCs w:val="24"/>
        </w:rPr>
        <w:t xml:space="preserve">readouts of </w:t>
      </w:r>
      <w:r w:rsidR="00480927" w:rsidRPr="00B84387">
        <w:rPr>
          <w:rFonts w:ascii="Times New Roman" w:hAnsi="Times New Roman" w:cs="Times New Roman"/>
          <w:sz w:val="24"/>
          <w:szCs w:val="24"/>
        </w:rPr>
        <w:t xml:space="preserve">long-term </w:t>
      </w:r>
      <w:r w:rsidR="00D30109" w:rsidRPr="00B84387">
        <w:rPr>
          <w:rFonts w:ascii="Times New Roman" w:hAnsi="Times New Roman" w:cs="Times New Roman"/>
          <w:sz w:val="24"/>
          <w:szCs w:val="24"/>
        </w:rPr>
        <w:t xml:space="preserve">population health </w:t>
      </w:r>
      <w:r w:rsidR="00480927" w:rsidRPr="00B84387">
        <w:rPr>
          <w:rFonts w:ascii="Times New Roman" w:hAnsi="Times New Roman" w:cs="Times New Roman"/>
          <w:sz w:val="24"/>
          <w:szCs w:val="24"/>
        </w:rPr>
        <w:t>impacts</w:t>
      </w:r>
      <w:r w:rsidR="004E174B" w:rsidRPr="00B84387">
        <w:rPr>
          <w:rFonts w:ascii="Times New Roman" w:hAnsi="Times New Roman" w:cs="Times New Roman"/>
          <w:sz w:val="24"/>
          <w:szCs w:val="24"/>
        </w:rPr>
        <w:t>,</w:t>
      </w:r>
      <w:r w:rsidR="00480927" w:rsidRPr="00B84387">
        <w:rPr>
          <w:rFonts w:ascii="Times New Roman" w:hAnsi="Times New Roman" w:cs="Times New Roman"/>
          <w:sz w:val="24"/>
          <w:szCs w:val="24"/>
        </w:rPr>
        <w:t xml:space="preserve"> </w:t>
      </w:r>
      <w:r w:rsidR="00D30109" w:rsidRPr="00B84387">
        <w:rPr>
          <w:rFonts w:ascii="Times New Roman" w:hAnsi="Times New Roman" w:cs="Times New Roman"/>
          <w:sz w:val="24"/>
          <w:szCs w:val="24"/>
        </w:rPr>
        <w:t xml:space="preserve">decades before the onset and disability. </w:t>
      </w:r>
      <w:r w:rsidR="00087E50" w:rsidRPr="00B84387">
        <w:rPr>
          <w:rFonts w:ascii="Times New Roman" w:hAnsi="Times New Roman" w:cs="Times New Roman"/>
          <w:sz w:val="24"/>
          <w:szCs w:val="24"/>
        </w:rPr>
        <w:t>This</w:t>
      </w:r>
      <w:r w:rsidR="009C7EF1" w:rsidRPr="00B84387">
        <w:rPr>
          <w:rFonts w:ascii="Times New Roman" w:hAnsi="Times New Roman" w:cs="Times New Roman"/>
          <w:sz w:val="24"/>
          <w:szCs w:val="24"/>
        </w:rPr>
        <w:t xml:space="preserve"> approach may ultimately prove essential to evaluating the long-term consequences of the COVID-19 pandemic.</w:t>
      </w:r>
    </w:p>
    <w:p w14:paraId="4FD40C15" w14:textId="77777777" w:rsidR="00A673B0" w:rsidRPr="00B84387" w:rsidRDefault="00A673B0" w:rsidP="00087E50">
      <w:pPr>
        <w:rPr>
          <w:rFonts w:ascii="Times New Roman" w:hAnsi="Times New Roman" w:cs="Times New Roman"/>
          <w:sz w:val="24"/>
          <w:szCs w:val="24"/>
        </w:rPr>
      </w:pPr>
    </w:p>
    <w:p w14:paraId="514439DA" w14:textId="77777777" w:rsidR="00A43956" w:rsidRPr="00B84387" w:rsidRDefault="00A43956" w:rsidP="00B95965">
      <w:pPr>
        <w:pStyle w:val="Heading2"/>
        <w:rPr>
          <w:rFonts w:ascii="Times New Roman" w:hAnsi="Times New Roman" w:cs="Times New Roman"/>
          <w:sz w:val="24"/>
          <w:szCs w:val="24"/>
        </w:rPr>
        <w:sectPr w:rsidR="00A43956" w:rsidRPr="00B84387" w:rsidSect="00B55154">
          <w:headerReference w:type="default" r:id="rId8"/>
          <w:footerReference w:type="default" r:id="rId9"/>
          <w:pgSz w:w="12240" w:h="15840"/>
          <w:pgMar w:top="1440" w:right="1440" w:bottom="1440" w:left="1440" w:header="720" w:footer="720" w:gutter="0"/>
          <w:cols w:space="720"/>
          <w:docGrid w:linePitch="360"/>
        </w:sectPr>
      </w:pPr>
    </w:p>
    <w:p w14:paraId="0DBD05A5" w14:textId="3290ABA4" w:rsidR="003F16AA" w:rsidRPr="00FB70D2" w:rsidRDefault="00323A83" w:rsidP="00B95965">
      <w:pPr>
        <w:pStyle w:val="Heading2"/>
        <w:rPr>
          <w:rFonts w:ascii="Times New Roman" w:hAnsi="Times New Roman" w:cs="Times New Roman"/>
          <w:sz w:val="24"/>
          <w:szCs w:val="24"/>
        </w:rPr>
      </w:pPr>
      <w:bookmarkStart w:id="6" w:name="_Hlk156670128"/>
      <w:r w:rsidRPr="00FB70D2">
        <w:rPr>
          <w:rFonts w:ascii="Times New Roman" w:hAnsi="Times New Roman" w:cs="Times New Roman"/>
          <w:sz w:val="24"/>
          <w:szCs w:val="24"/>
        </w:rPr>
        <w:lastRenderedPageBreak/>
        <w:t>REFERENCES</w:t>
      </w:r>
    </w:p>
    <w:p w14:paraId="4CA1FF6A" w14:textId="6F3566DF"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1.</w:t>
      </w:r>
      <w:r w:rsidRPr="00FB70D2">
        <w:rPr>
          <w:rFonts w:ascii="Times New Roman" w:hAnsi="Times New Roman" w:cs="Times New Roman"/>
          <w:sz w:val="24"/>
          <w:szCs w:val="24"/>
        </w:rPr>
        <w:tab/>
        <w:t xml:space="preserve">Wilmoth JR. Demography of longevity: past, present, and future trends. Experimental gerontology. 2000;35(9–10):1111–29. </w:t>
      </w:r>
    </w:p>
    <w:p w14:paraId="7DD06A6F"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2.</w:t>
      </w:r>
      <w:r w:rsidRPr="00FB70D2">
        <w:rPr>
          <w:rFonts w:ascii="Times New Roman" w:hAnsi="Times New Roman" w:cs="Times New Roman"/>
          <w:sz w:val="24"/>
          <w:szCs w:val="24"/>
        </w:rPr>
        <w:tab/>
        <w:t>Kinsella KG. Changes in life expectancy 1900–1990. The American journal of clinical nutrition. 1992;55(6</w:t>
      </w:r>
      <w:proofErr w:type="gramStart"/>
      <w:r w:rsidRPr="00FB70D2">
        <w:rPr>
          <w:rFonts w:ascii="Times New Roman" w:hAnsi="Times New Roman" w:cs="Times New Roman"/>
          <w:sz w:val="24"/>
          <w:szCs w:val="24"/>
        </w:rPr>
        <w:t>):S</w:t>
      </w:r>
      <w:proofErr w:type="gramEnd"/>
      <w:r w:rsidRPr="00FB70D2">
        <w:rPr>
          <w:rFonts w:ascii="Times New Roman" w:hAnsi="Times New Roman" w:cs="Times New Roman"/>
          <w:sz w:val="24"/>
          <w:szCs w:val="24"/>
        </w:rPr>
        <w:t xml:space="preserve">1196–202. </w:t>
      </w:r>
    </w:p>
    <w:p w14:paraId="3F9017DD"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3.</w:t>
      </w:r>
      <w:r w:rsidRPr="00FB70D2">
        <w:rPr>
          <w:rFonts w:ascii="Times New Roman" w:hAnsi="Times New Roman" w:cs="Times New Roman"/>
          <w:sz w:val="24"/>
          <w:szCs w:val="24"/>
        </w:rPr>
        <w:tab/>
        <w:t>Rabin RC. U.S. Life Expectancy Falls Again in ‘Historic’ Setback. The New York Times [Internet]. 2022 Aug 31; Available from: https://www.nytimes.com/2022/08/31/health/life-expectancy-covid-pandemic.html</w:t>
      </w:r>
    </w:p>
    <w:p w14:paraId="15F056B9"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4.</w:t>
      </w:r>
      <w:r w:rsidRPr="00FB70D2">
        <w:rPr>
          <w:rFonts w:ascii="Times New Roman" w:hAnsi="Times New Roman" w:cs="Times New Roman"/>
          <w:sz w:val="24"/>
          <w:szCs w:val="24"/>
        </w:rPr>
        <w:tab/>
        <w:t>Council on Foreign Relations [Internet]. [cited 2022 Dec 15]. U.S. Life Expectancy Is in Decline. Why Aren’t Other Countries Suffering the Same Problem? Available from: https://www.cfr.org/in-brief/us-life-expectancy-decline-why-arent-other-countries-suffering-same-problem</w:t>
      </w:r>
    </w:p>
    <w:p w14:paraId="403BBE17"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5.</w:t>
      </w:r>
      <w:r w:rsidRPr="00FB70D2">
        <w:rPr>
          <w:rFonts w:ascii="Times New Roman" w:hAnsi="Times New Roman" w:cs="Times New Roman"/>
          <w:sz w:val="24"/>
          <w:szCs w:val="24"/>
        </w:rPr>
        <w:tab/>
        <w:t>Tanne JH. Life expectancy: US sees steepest decline in a century. BMJ. 2022 Sep 5;</w:t>
      </w:r>
      <w:proofErr w:type="gramStart"/>
      <w:r w:rsidRPr="00FB70D2">
        <w:rPr>
          <w:rFonts w:ascii="Times New Roman" w:hAnsi="Times New Roman" w:cs="Times New Roman"/>
          <w:sz w:val="24"/>
          <w:szCs w:val="24"/>
        </w:rPr>
        <w:t>378:o</w:t>
      </w:r>
      <w:proofErr w:type="gramEnd"/>
      <w:r w:rsidRPr="00FB70D2">
        <w:rPr>
          <w:rFonts w:ascii="Times New Roman" w:hAnsi="Times New Roman" w:cs="Times New Roman"/>
          <w:sz w:val="24"/>
          <w:szCs w:val="24"/>
        </w:rPr>
        <w:t xml:space="preserve">2142. </w:t>
      </w:r>
    </w:p>
    <w:p w14:paraId="4EF84BC0"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6.</w:t>
      </w:r>
      <w:r w:rsidRPr="00FB70D2">
        <w:rPr>
          <w:rFonts w:ascii="Times New Roman" w:hAnsi="Times New Roman" w:cs="Times New Roman"/>
          <w:sz w:val="24"/>
          <w:szCs w:val="24"/>
        </w:rPr>
        <w:tab/>
        <w:t xml:space="preserve">Venkataramani AS, O’Brien R, Tsai AC. Declining Life Expectancy in the United States: The Need for Social Policy as Health Policy. JAMA. 2021 Feb 16;325(7):621–2. </w:t>
      </w:r>
    </w:p>
    <w:p w14:paraId="267EE4F6"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7.</w:t>
      </w:r>
      <w:r w:rsidRPr="00FB70D2">
        <w:rPr>
          <w:rFonts w:ascii="Times New Roman" w:hAnsi="Times New Roman" w:cs="Times New Roman"/>
          <w:sz w:val="24"/>
          <w:szCs w:val="24"/>
        </w:rPr>
        <w:tab/>
        <w:t xml:space="preserve">Woolf SH, Schoomaker H. Life expectancy and mortality rates in the United States, 1959-2017. JAMA. 2019;322(20):1996–2016. </w:t>
      </w:r>
    </w:p>
    <w:p w14:paraId="6D226D88"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8.</w:t>
      </w:r>
      <w:r w:rsidRPr="00FB70D2">
        <w:rPr>
          <w:rFonts w:ascii="Times New Roman" w:hAnsi="Times New Roman" w:cs="Times New Roman"/>
          <w:sz w:val="24"/>
          <w:szCs w:val="24"/>
        </w:rPr>
        <w:tab/>
        <w:t xml:space="preserve">Ho JY, Hendi AS. Recent trends in life expectancy across high income countries: retrospective observational study. BMJ. 2018;362. </w:t>
      </w:r>
    </w:p>
    <w:p w14:paraId="5CD0F523"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9.</w:t>
      </w:r>
      <w:r w:rsidRPr="00FB70D2">
        <w:rPr>
          <w:rFonts w:ascii="Times New Roman" w:hAnsi="Times New Roman" w:cs="Times New Roman"/>
          <w:sz w:val="24"/>
          <w:szCs w:val="24"/>
        </w:rPr>
        <w:tab/>
        <w:t xml:space="preserve">Case A, Deaton A. Mortality and morbidity in the 21st century. Brookings papers on economic activity. </w:t>
      </w:r>
      <w:proofErr w:type="gramStart"/>
      <w:r w:rsidRPr="00FB70D2">
        <w:rPr>
          <w:rFonts w:ascii="Times New Roman" w:hAnsi="Times New Roman" w:cs="Times New Roman"/>
          <w:sz w:val="24"/>
          <w:szCs w:val="24"/>
        </w:rPr>
        <w:t>2017;2017:397</w:t>
      </w:r>
      <w:proofErr w:type="gramEnd"/>
      <w:r w:rsidRPr="00FB70D2">
        <w:rPr>
          <w:rFonts w:ascii="Times New Roman" w:hAnsi="Times New Roman" w:cs="Times New Roman"/>
          <w:sz w:val="24"/>
          <w:szCs w:val="24"/>
        </w:rPr>
        <w:t xml:space="preserve">. </w:t>
      </w:r>
    </w:p>
    <w:p w14:paraId="57592DEF"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10.</w:t>
      </w:r>
      <w:r w:rsidRPr="00FB70D2">
        <w:rPr>
          <w:rFonts w:ascii="Times New Roman" w:hAnsi="Times New Roman" w:cs="Times New Roman"/>
          <w:sz w:val="24"/>
          <w:szCs w:val="24"/>
        </w:rPr>
        <w:tab/>
        <w:t xml:space="preserve">Woolf SH, Masters RK, Aron LY. Effect of the covid-19 pandemic in 2020 on life expectancy across populations in the USA and other </w:t>
      </w:r>
      <w:proofErr w:type="gramStart"/>
      <w:r w:rsidRPr="00FB70D2">
        <w:rPr>
          <w:rFonts w:ascii="Times New Roman" w:hAnsi="Times New Roman" w:cs="Times New Roman"/>
          <w:sz w:val="24"/>
          <w:szCs w:val="24"/>
        </w:rPr>
        <w:t>high income</w:t>
      </w:r>
      <w:proofErr w:type="gramEnd"/>
      <w:r w:rsidRPr="00FB70D2">
        <w:rPr>
          <w:rFonts w:ascii="Times New Roman" w:hAnsi="Times New Roman" w:cs="Times New Roman"/>
          <w:sz w:val="24"/>
          <w:szCs w:val="24"/>
        </w:rPr>
        <w:t xml:space="preserve"> countries: simulations of provisional mortality data. BMJ. 2021 Jun 24;</w:t>
      </w:r>
      <w:proofErr w:type="gramStart"/>
      <w:r w:rsidRPr="00FB70D2">
        <w:rPr>
          <w:rFonts w:ascii="Times New Roman" w:hAnsi="Times New Roman" w:cs="Times New Roman"/>
          <w:sz w:val="24"/>
          <w:szCs w:val="24"/>
        </w:rPr>
        <w:t>373:n</w:t>
      </w:r>
      <w:proofErr w:type="gramEnd"/>
      <w:r w:rsidRPr="00FB70D2">
        <w:rPr>
          <w:rFonts w:ascii="Times New Roman" w:hAnsi="Times New Roman" w:cs="Times New Roman"/>
          <w:sz w:val="24"/>
          <w:szCs w:val="24"/>
        </w:rPr>
        <w:t xml:space="preserve">1343. </w:t>
      </w:r>
    </w:p>
    <w:p w14:paraId="13440B16"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11.</w:t>
      </w:r>
      <w:r w:rsidRPr="00FB70D2">
        <w:rPr>
          <w:rFonts w:ascii="Times New Roman" w:hAnsi="Times New Roman" w:cs="Times New Roman"/>
          <w:sz w:val="24"/>
          <w:szCs w:val="24"/>
        </w:rPr>
        <w:tab/>
        <w:t xml:space="preserve">Stein EM, Gennuso KP, </w:t>
      </w:r>
      <w:proofErr w:type="spellStart"/>
      <w:r w:rsidRPr="00FB70D2">
        <w:rPr>
          <w:rFonts w:ascii="Times New Roman" w:hAnsi="Times New Roman" w:cs="Times New Roman"/>
          <w:sz w:val="24"/>
          <w:szCs w:val="24"/>
        </w:rPr>
        <w:t>Ugboaja</w:t>
      </w:r>
      <w:proofErr w:type="spellEnd"/>
      <w:r w:rsidRPr="00FB70D2">
        <w:rPr>
          <w:rFonts w:ascii="Times New Roman" w:hAnsi="Times New Roman" w:cs="Times New Roman"/>
          <w:sz w:val="24"/>
          <w:szCs w:val="24"/>
        </w:rPr>
        <w:t xml:space="preserve"> DC, Remington PL. The epidemic of despair among white Americans: trends in the leading causes of premature death, 1999–2015. American journal of public health. 2017;107(10):1541–7. </w:t>
      </w:r>
    </w:p>
    <w:p w14:paraId="3469F5A1"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12.</w:t>
      </w:r>
      <w:r w:rsidRPr="00FB70D2">
        <w:rPr>
          <w:rFonts w:ascii="Times New Roman" w:hAnsi="Times New Roman" w:cs="Times New Roman"/>
          <w:sz w:val="24"/>
          <w:szCs w:val="24"/>
        </w:rPr>
        <w:tab/>
        <w:t xml:space="preserve">Arias E, Tejada-Vera B, Kochanek KD, Ahmad FB. Provisional life expectancy estimates for 2021. 2022; </w:t>
      </w:r>
    </w:p>
    <w:p w14:paraId="6000E286"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13.</w:t>
      </w:r>
      <w:r w:rsidRPr="00FB70D2">
        <w:rPr>
          <w:rFonts w:ascii="Times New Roman" w:hAnsi="Times New Roman" w:cs="Times New Roman"/>
          <w:sz w:val="24"/>
          <w:szCs w:val="24"/>
        </w:rPr>
        <w:tab/>
        <w:t xml:space="preserve">Roser M, Ortiz-Ospina E, Ritchie H. Life expectancy. Our world in data. 2013; </w:t>
      </w:r>
    </w:p>
    <w:p w14:paraId="1CFF21FF"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14.</w:t>
      </w:r>
      <w:r w:rsidRPr="00FB70D2">
        <w:rPr>
          <w:rFonts w:ascii="Times New Roman" w:hAnsi="Times New Roman" w:cs="Times New Roman"/>
          <w:sz w:val="24"/>
          <w:szCs w:val="24"/>
        </w:rPr>
        <w:tab/>
        <w:t xml:space="preserve">Organization for Economic Cooperation &amp; Development. Life expectancy at birth (indicator). 2015; </w:t>
      </w:r>
    </w:p>
    <w:p w14:paraId="02C7FC06"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lastRenderedPageBreak/>
        <w:t>15.</w:t>
      </w:r>
      <w:r w:rsidRPr="00FB70D2">
        <w:rPr>
          <w:rFonts w:ascii="Times New Roman" w:hAnsi="Times New Roman" w:cs="Times New Roman"/>
          <w:sz w:val="24"/>
          <w:szCs w:val="24"/>
        </w:rPr>
        <w:tab/>
        <w:t>Modig K, Rau R, Ahlbom A. Life expectancy: what does it measure? BMJ open. 2020;10(7</w:t>
      </w:r>
      <w:proofErr w:type="gramStart"/>
      <w:r w:rsidRPr="00FB70D2">
        <w:rPr>
          <w:rFonts w:ascii="Times New Roman" w:hAnsi="Times New Roman" w:cs="Times New Roman"/>
          <w:sz w:val="24"/>
          <w:szCs w:val="24"/>
        </w:rPr>
        <w:t>):e</w:t>
      </w:r>
      <w:proofErr w:type="gramEnd"/>
      <w:r w:rsidRPr="00FB70D2">
        <w:rPr>
          <w:rFonts w:ascii="Times New Roman" w:hAnsi="Times New Roman" w:cs="Times New Roman"/>
          <w:sz w:val="24"/>
          <w:szCs w:val="24"/>
        </w:rPr>
        <w:t xml:space="preserve">035932. </w:t>
      </w:r>
    </w:p>
    <w:p w14:paraId="4D1C1120"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16.</w:t>
      </w:r>
      <w:r w:rsidRPr="00FB70D2">
        <w:rPr>
          <w:rFonts w:ascii="Times New Roman" w:hAnsi="Times New Roman" w:cs="Times New Roman"/>
          <w:sz w:val="24"/>
          <w:szCs w:val="24"/>
        </w:rPr>
        <w:tab/>
        <w:t xml:space="preserve">Chetty R, Stepner M, Abraham S, Lin S, Scuderi B, Turner N, et al. The association between income and life expectancy in the United States, 2001-2014. Jama. 2016;315(16):1750–66. </w:t>
      </w:r>
    </w:p>
    <w:p w14:paraId="48C9D324"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17.</w:t>
      </w:r>
      <w:r w:rsidRPr="00FB70D2">
        <w:rPr>
          <w:rFonts w:ascii="Times New Roman" w:hAnsi="Times New Roman" w:cs="Times New Roman"/>
          <w:sz w:val="24"/>
          <w:szCs w:val="24"/>
        </w:rPr>
        <w:tab/>
        <w:t>Case A, Deaton A. Life expectancy in adulthood is falling for those without a BA degree, but as educational gaps have widened, racial gaps have narrowed. Proceedings of the National Academy of Sciences. 2021;118(11</w:t>
      </w:r>
      <w:proofErr w:type="gramStart"/>
      <w:r w:rsidRPr="00FB70D2">
        <w:rPr>
          <w:rFonts w:ascii="Times New Roman" w:hAnsi="Times New Roman" w:cs="Times New Roman"/>
          <w:sz w:val="24"/>
          <w:szCs w:val="24"/>
        </w:rPr>
        <w:t>):e</w:t>
      </w:r>
      <w:proofErr w:type="gramEnd"/>
      <w:r w:rsidRPr="00FB70D2">
        <w:rPr>
          <w:rFonts w:ascii="Times New Roman" w:hAnsi="Times New Roman" w:cs="Times New Roman"/>
          <w:sz w:val="24"/>
          <w:szCs w:val="24"/>
        </w:rPr>
        <w:t xml:space="preserve">2024777118. </w:t>
      </w:r>
    </w:p>
    <w:p w14:paraId="01B5E6BF"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18.</w:t>
      </w:r>
      <w:r w:rsidRPr="00FB70D2">
        <w:rPr>
          <w:rFonts w:ascii="Times New Roman" w:hAnsi="Times New Roman" w:cs="Times New Roman"/>
          <w:sz w:val="24"/>
          <w:szCs w:val="24"/>
        </w:rPr>
        <w:tab/>
      </w:r>
      <w:proofErr w:type="spellStart"/>
      <w:r w:rsidRPr="00FB70D2">
        <w:rPr>
          <w:rFonts w:ascii="Times New Roman" w:hAnsi="Times New Roman" w:cs="Times New Roman"/>
          <w:sz w:val="24"/>
          <w:szCs w:val="24"/>
        </w:rPr>
        <w:t>Geruso</w:t>
      </w:r>
      <w:proofErr w:type="spellEnd"/>
      <w:r w:rsidRPr="00FB70D2">
        <w:rPr>
          <w:rFonts w:ascii="Times New Roman" w:hAnsi="Times New Roman" w:cs="Times New Roman"/>
          <w:sz w:val="24"/>
          <w:szCs w:val="24"/>
        </w:rPr>
        <w:t xml:space="preserve"> M. Black-white disparities in life expectancy: how much can the standard SES variables explain? Demography. 2012;49(2):553–74. </w:t>
      </w:r>
    </w:p>
    <w:p w14:paraId="3A61D89F"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19.</w:t>
      </w:r>
      <w:r w:rsidRPr="00FB70D2">
        <w:rPr>
          <w:rFonts w:ascii="Times New Roman" w:hAnsi="Times New Roman" w:cs="Times New Roman"/>
          <w:sz w:val="24"/>
          <w:szCs w:val="24"/>
        </w:rPr>
        <w:tab/>
        <w:t xml:space="preserve">Kennedy BK, Berger SL, Brunet A, Campisi J, Cuervo AM, Epel ES, et al. Geroscience: linking aging to chronic disease. Cell. 2014;159(4):709–13. </w:t>
      </w:r>
    </w:p>
    <w:p w14:paraId="56C01E2F"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20.</w:t>
      </w:r>
      <w:r w:rsidRPr="00FB70D2">
        <w:rPr>
          <w:rFonts w:ascii="Times New Roman" w:hAnsi="Times New Roman" w:cs="Times New Roman"/>
          <w:sz w:val="24"/>
          <w:szCs w:val="24"/>
        </w:rPr>
        <w:tab/>
        <w:t xml:space="preserve">Kritchevsky SB, Justice JN. Testing the Geroscience Hypothesis: Early Days. The Journals of Gerontology: Series A. 2019;75(1):99–101. </w:t>
      </w:r>
    </w:p>
    <w:p w14:paraId="2352DA6D"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21.</w:t>
      </w:r>
      <w:r w:rsidRPr="00FB70D2">
        <w:rPr>
          <w:rFonts w:ascii="Times New Roman" w:hAnsi="Times New Roman" w:cs="Times New Roman"/>
          <w:sz w:val="24"/>
          <w:szCs w:val="24"/>
        </w:rPr>
        <w:tab/>
        <w:t xml:space="preserve">Sanderson WC, Scherbov S. A new perspective on population aging. Demographic research. </w:t>
      </w:r>
      <w:proofErr w:type="gramStart"/>
      <w:r w:rsidRPr="00FB70D2">
        <w:rPr>
          <w:rFonts w:ascii="Times New Roman" w:hAnsi="Times New Roman" w:cs="Times New Roman"/>
          <w:sz w:val="24"/>
          <w:szCs w:val="24"/>
        </w:rPr>
        <w:t>2007;16:27</w:t>
      </w:r>
      <w:proofErr w:type="gramEnd"/>
      <w:r w:rsidRPr="00FB70D2">
        <w:rPr>
          <w:rFonts w:ascii="Times New Roman" w:hAnsi="Times New Roman" w:cs="Times New Roman"/>
          <w:sz w:val="24"/>
          <w:szCs w:val="24"/>
        </w:rPr>
        <w:t xml:space="preserve">–58. </w:t>
      </w:r>
    </w:p>
    <w:p w14:paraId="3C9249E9"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22.</w:t>
      </w:r>
      <w:r w:rsidRPr="00FB70D2">
        <w:rPr>
          <w:rFonts w:ascii="Times New Roman" w:hAnsi="Times New Roman" w:cs="Times New Roman"/>
          <w:sz w:val="24"/>
          <w:szCs w:val="24"/>
        </w:rPr>
        <w:tab/>
        <w:t>Han B, Einstein EB, Jones CM, Cotto J, Compton WM, Volkow ND. Racial and ethnic disparities in drug overdose deaths in the US during the COVID-19 pandemic. JAMA network open. 2022;5(9</w:t>
      </w:r>
      <w:proofErr w:type="gramStart"/>
      <w:r w:rsidRPr="00FB70D2">
        <w:rPr>
          <w:rFonts w:ascii="Times New Roman" w:hAnsi="Times New Roman" w:cs="Times New Roman"/>
          <w:sz w:val="24"/>
          <w:szCs w:val="24"/>
        </w:rPr>
        <w:t>):e</w:t>
      </w:r>
      <w:proofErr w:type="gramEnd"/>
      <w:r w:rsidRPr="00FB70D2">
        <w:rPr>
          <w:rFonts w:ascii="Times New Roman" w:hAnsi="Times New Roman" w:cs="Times New Roman"/>
          <w:sz w:val="24"/>
          <w:szCs w:val="24"/>
        </w:rPr>
        <w:t xml:space="preserve">2232314–e2232314. </w:t>
      </w:r>
    </w:p>
    <w:p w14:paraId="532A3FF8"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23.</w:t>
      </w:r>
      <w:r w:rsidRPr="00FB70D2">
        <w:rPr>
          <w:rFonts w:ascii="Times New Roman" w:hAnsi="Times New Roman" w:cs="Times New Roman"/>
          <w:sz w:val="24"/>
          <w:szCs w:val="24"/>
        </w:rPr>
        <w:tab/>
        <w:t xml:space="preserve">Friedman JR, Hansen H. Evaluation of increases in drug overdose mortality rates in the US by race and ethnicity before and during the COVID-19 pandemic. JAMA psychiatry. 2022;79(4):379–81. </w:t>
      </w:r>
    </w:p>
    <w:p w14:paraId="16E4DC25"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24.</w:t>
      </w:r>
      <w:r w:rsidRPr="00FB70D2">
        <w:rPr>
          <w:rFonts w:ascii="Times New Roman" w:hAnsi="Times New Roman" w:cs="Times New Roman"/>
          <w:sz w:val="24"/>
          <w:szCs w:val="24"/>
        </w:rPr>
        <w:tab/>
      </w:r>
      <w:proofErr w:type="spellStart"/>
      <w:r w:rsidRPr="00FB70D2">
        <w:rPr>
          <w:rFonts w:ascii="Times New Roman" w:hAnsi="Times New Roman" w:cs="Times New Roman"/>
          <w:sz w:val="24"/>
          <w:szCs w:val="24"/>
        </w:rPr>
        <w:t>Kariisa</w:t>
      </w:r>
      <w:proofErr w:type="spellEnd"/>
      <w:r w:rsidRPr="00FB70D2">
        <w:rPr>
          <w:rFonts w:ascii="Times New Roman" w:hAnsi="Times New Roman" w:cs="Times New Roman"/>
          <w:sz w:val="24"/>
          <w:szCs w:val="24"/>
        </w:rPr>
        <w:t xml:space="preserve"> M, Seth P, Jones CM. Increases in disparities in US drug overdose deaths by race and ethnicity: opportunities for clinicians and health systems. JAMA. 2022;328(5):421–2. </w:t>
      </w:r>
    </w:p>
    <w:p w14:paraId="64DE431E"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25.</w:t>
      </w:r>
      <w:r w:rsidRPr="00FB70D2">
        <w:rPr>
          <w:rFonts w:ascii="Times New Roman" w:hAnsi="Times New Roman" w:cs="Times New Roman"/>
          <w:sz w:val="24"/>
          <w:szCs w:val="24"/>
        </w:rPr>
        <w:tab/>
      </w:r>
      <w:proofErr w:type="spellStart"/>
      <w:r w:rsidRPr="00FB70D2">
        <w:rPr>
          <w:rFonts w:ascii="Times New Roman" w:hAnsi="Times New Roman" w:cs="Times New Roman"/>
          <w:sz w:val="24"/>
          <w:szCs w:val="24"/>
        </w:rPr>
        <w:t>Tsirigotis</w:t>
      </w:r>
      <w:proofErr w:type="spellEnd"/>
      <w:r w:rsidRPr="00FB70D2">
        <w:rPr>
          <w:rFonts w:ascii="Times New Roman" w:hAnsi="Times New Roman" w:cs="Times New Roman"/>
          <w:sz w:val="24"/>
          <w:szCs w:val="24"/>
        </w:rPr>
        <w:t xml:space="preserve"> K, Gruszczynski W, </w:t>
      </w:r>
      <w:proofErr w:type="spellStart"/>
      <w:r w:rsidRPr="00FB70D2">
        <w:rPr>
          <w:rFonts w:ascii="Times New Roman" w:hAnsi="Times New Roman" w:cs="Times New Roman"/>
          <w:sz w:val="24"/>
          <w:szCs w:val="24"/>
        </w:rPr>
        <w:t>Tsirigotis</w:t>
      </w:r>
      <w:proofErr w:type="spellEnd"/>
      <w:r w:rsidRPr="00FB70D2">
        <w:rPr>
          <w:rFonts w:ascii="Times New Roman" w:hAnsi="Times New Roman" w:cs="Times New Roman"/>
          <w:sz w:val="24"/>
          <w:szCs w:val="24"/>
        </w:rPr>
        <w:t xml:space="preserve"> M. Gender differentiation in methods of suicide attempts. Medical science monitor: international medical journal of experimental and clinical research. 2011;17(8):PH65. </w:t>
      </w:r>
    </w:p>
    <w:p w14:paraId="3DC1C145"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26.</w:t>
      </w:r>
      <w:r w:rsidRPr="00FB70D2">
        <w:rPr>
          <w:rFonts w:ascii="Times New Roman" w:hAnsi="Times New Roman" w:cs="Times New Roman"/>
          <w:sz w:val="24"/>
          <w:szCs w:val="24"/>
        </w:rPr>
        <w:tab/>
        <w:t xml:space="preserve">Santoro TN, Santoro JD. Racial bias in the US opioid epidemic: a review of the history of systemic bias and implications for care. </w:t>
      </w:r>
      <w:proofErr w:type="spellStart"/>
      <w:r w:rsidRPr="00FB70D2">
        <w:rPr>
          <w:rFonts w:ascii="Times New Roman" w:hAnsi="Times New Roman" w:cs="Times New Roman"/>
          <w:sz w:val="24"/>
          <w:szCs w:val="24"/>
        </w:rPr>
        <w:t>Cureus</w:t>
      </w:r>
      <w:proofErr w:type="spellEnd"/>
      <w:r w:rsidRPr="00FB70D2">
        <w:rPr>
          <w:rFonts w:ascii="Times New Roman" w:hAnsi="Times New Roman" w:cs="Times New Roman"/>
          <w:sz w:val="24"/>
          <w:szCs w:val="24"/>
        </w:rPr>
        <w:t xml:space="preserve">. 2018;10(12). </w:t>
      </w:r>
    </w:p>
    <w:p w14:paraId="4D205912"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27.</w:t>
      </w:r>
      <w:r w:rsidRPr="00FB70D2">
        <w:rPr>
          <w:rFonts w:ascii="Times New Roman" w:hAnsi="Times New Roman" w:cs="Times New Roman"/>
          <w:sz w:val="24"/>
          <w:szCs w:val="24"/>
        </w:rPr>
        <w:tab/>
        <w:t xml:space="preserve">Kwon D, Belsky DW. A toolkit for quantification of biological age from blood chemistry and organ function test data: BioAge. GeroScience. 2021;43(6):2795–808. </w:t>
      </w:r>
    </w:p>
    <w:p w14:paraId="6D05DBAE"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28.</w:t>
      </w:r>
      <w:r w:rsidRPr="00FB70D2">
        <w:rPr>
          <w:rFonts w:ascii="Times New Roman" w:hAnsi="Times New Roman" w:cs="Times New Roman"/>
          <w:sz w:val="24"/>
          <w:szCs w:val="24"/>
        </w:rPr>
        <w:tab/>
        <w:t xml:space="preserve">Kirkwood TB. Understanding the odd science of aging. Cell. 2005;120(4):437–47. </w:t>
      </w:r>
    </w:p>
    <w:p w14:paraId="14C9A1BE"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29.</w:t>
      </w:r>
      <w:r w:rsidRPr="00FB70D2">
        <w:rPr>
          <w:rFonts w:ascii="Times New Roman" w:hAnsi="Times New Roman" w:cs="Times New Roman"/>
          <w:sz w:val="24"/>
          <w:szCs w:val="24"/>
        </w:rPr>
        <w:tab/>
        <w:t>López-</w:t>
      </w:r>
      <w:proofErr w:type="spellStart"/>
      <w:r w:rsidRPr="00FB70D2">
        <w:rPr>
          <w:rFonts w:ascii="Times New Roman" w:hAnsi="Times New Roman" w:cs="Times New Roman"/>
          <w:sz w:val="24"/>
          <w:szCs w:val="24"/>
        </w:rPr>
        <w:t>Otín</w:t>
      </w:r>
      <w:proofErr w:type="spellEnd"/>
      <w:r w:rsidRPr="00FB70D2">
        <w:rPr>
          <w:rFonts w:ascii="Times New Roman" w:hAnsi="Times New Roman" w:cs="Times New Roman"/>
          <w:sz w:val="24"/>
          <w:szCs w:val="24"/>
        </w:rPr>
        <w:t xml:space="preserve"> C, Blasco MA, Partridge L, Serrano M, Kroemer G. The hallmarks of aging. Cell. 2013;153(6):1194–217. </w:t>
      </w:r>
    </w:p>
    <w:p w14:paraId="164EAF7F"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lastRenderedPageBreak/>
        <w:t>30.</w:t>
      </w:r>
      <w:r w:rsidRPr="00FB70D2">
        <w:rPr>
          <w:rFonts w:ascii="Times New Roman" w:hAnsi="Times New Roman" w:cs="Times New Roman"/>
          <w:sz w:val="24"/>
          <w:szCs w:val="24"/>
        </w:rPr>
        <w:tab/>
        <w:t xml:space="preserve">Barzilai N, Cuervo AM, Austad S. Aging as a biological target for prevention and therapy. JAMA. 2018;320(13):1321–2. </w:t>
      </w:r>
    </w:p>
    <w:p w14:paraId="63AF5AD3"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31.</w:t>
      </w:r>
      <w:r w:rsidRPr="00FB70D2">
        <w:rPr>
          <w:rFonts w:ascii="Times New Roman" w:hAnsi="Times New Roman" w:cs="Times New Roman"/>
          <w:sz w:val="24"/>
          <w:szCs w:val="24"/>
        </w:rPr>
        <w:tab/>
        <w:t xml:space="preserve">McEwen BS. Stress, adaptation, and disease: Allostasis and allostatic load. Annals of the New York academy of sciences. 1998;840(1):33–44. </w:t>
      </w:r>
    </w:p>
    <w:p w14:paraId="593C39A0"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32.</w:t>
      </w:r>
      <w:r w:rsidRPr="00FB70D2">
        <w:rPr>
          <w:rFonts w:ascii="Times New Roman" w:hAnsi="Times New Roman" w:cs="Times New Roman"/>
          <w:sz w:val="24"/>
          <w:szCs w:val="24"/>
        </w:rPr>
        <w:tab/>
        <w:t xml:space="preserve">Geronimus AT. The weathering hypothesis and the health of African-American women and infants: evidence and speculations. Ethnicity &amp; disease. 1992;2(3):207–21. </w:t>
      </w:r>
    </w:p>
    <w:p w14:paraId="767B9B52"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33.</w:t>
      </w:r>
      <w:r w:rsidRPr="00FB70D2">
        <w:rPr>
          <w:rFonts w:ascii="Times New Roman" w:hAnsi="Times New Roman" w:cs="Times New Roman"/>
          <w:sz w:val="24"/>
          <w:szCs w:val="24"/>
        </w:rPr>
        <w:tab/>
        <w:t xml:space="preserve">Geronimus AT, Hicken M, Keene D, Bound J. “Weathering” and age patterns of allostatic load scores among blacks and whites in the United States. American journal of public health. 2006;96(5):826–33. </w:t>
      </w:r>
    </w:p>
    <w:p w14:paraId="7F027DB7"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34.</w:t>
      </w:r>
      <w:r w:rsidRPr="00FB70D2">
        <w:rPr>
          <w:rFonts w:ascii="Times New Roman" w:hAnsi="Times New Roman" w:cs="Times New Roman"/>
          <w:sz w:val="24"/>
          <w:szCs w:val="24"/>
        </w:rPr>
        <w:tab/>
        <w:t xml:space="preserve">McEwen BS. Sex, stress and the hippocampus: allostasis, allostatic load and the aging process. Neurobiology of aging. 2002;23(5):921–39. </w:t>
      </w:r>
    </w:p>
    <w:p w14:paraId="1D9DC919"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35.</w:t>
      </w:r>
      <w:r w:rsidRPr="00FB70D2">
        <w:rPr>
          <w:rFonts w:ascii="Times New Roman" w:hAnsi="Times New Roman" w:cs="Times New Roman"/>
          <w:sz w:val="24"/>
          <w:szCs w:val="24"/>
        </w:rPr>
        <w:tab/>
        <w:t xml:space="preserve">Danese A, McEwen BS. Adverse childhood experiences, allostasis, allostatic load, and age-related disease. Physiology &amp; behavior. 2012;106(1):29–39. </w:t>
      </w:r>
    </w:p>
    <w:p w14:paraId="4938820C"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36.</w:t>
      </w:r>
      <w:r w:rsidRPr="00FB70D2">
        <w:rPr>
          <w:rFonts w:ascii="Times New Roman" w:hAnsi="Times New Roman" w:cs="Times New Roman"/>
          <w:sz w:val="24"/>
          <w:szCs w:val="24"/>
        </w:rPr>
        <w:tab/>
        <w:t xml:space="preserve">Epel ES, Prather AA. Stress, telomeres, and psychopathology: toward a deeper understanding of a triad of early aging. Annual review of clinical psychology. </w:t>
      </w:r>
      <w:proofErr w:type="gramStart"/>
      <w:r w:rsidRPr="00FB70D2">
        <w:rPr>
          <w:rFonts w:ascii="Times New Roman" w:hAnsi="Times New Roman" w:cs="Times New Roman"/>
          <w:sz w:val="24"/>
          <w:szCs w:val="24"/>
        </w:rPr>
        <w:t>2018;14:371</w:t>
      </w:r>
      <w:proofErr w:type="gramEnd"/>
      <w:r w:rsidRPr="00FB70D2">
        <w:rPr>
          <w:rFonts w:ascii="Times New Roman" w:hAnsi="Times New Roman" w:cs="Times New Roman"/>
          <w:sz w:val="24"/>
          <w:szCs w:val="24"/>
        </w:rPr>
        <w:t xml:space="preserve">–97. </w:t>
      </w:r>
    </w:p>
    <w:p w14:paraId="17E1E885"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37.</w:t>
      </w:r>
      <w:r w:rsidRPr="00FB70D2">
        <w:rPr>
          <w:rFonts w:ascii="Times New Roman" w:hAnsi="Times New Roman" w:cs="Times New Roman"/>
          <w:sz w:val="24"/>
          <w:szCs w:val="24"/>
        </w:rPr>
        <w:tab/>
        <w:t xml:space="preserve">Danese A, Moffitt TE, </w:t>
      </w:r>
      <w:proofErr w:type="spellStart"/>
      <w:r w:rsidRPr="00FB70D2">
        <w:rPr>
          <w:rFonts w:ascii="Times New Roman" w:hAnsi="Times New Roman" w:cs="Times New Roman"/>
          <w:sz w:val="24"/>
          <w:szCs w:val="24"/>
        </w:rPr>
        <w:t>Pariante</w:t>
      </w:r>
      <w:proofErr w:type="spellEnd"/>
      <w:r w:rsidRPr="00FB70D2">
        <w:rPr>
          <w:rFonts w:ascii="Times New Roman" w:hAnsi="Times New Roman" w:cs="Times New Roman"/>
          <w:sz w:val="24"/>
          <w:szCs w:val="24"/>
        </w:rPr>
        <w:t xml:space="preserve"> CM, Ambler A, Poulton R, Caspi A. Elevated inflammation levels in depressed adults with a history of childhood maltreatment. Archives of general psychiatry. 2008;65(4):409–15. </w:t>
      </w:r>
    </w:p>
    <w:p w14:paraId="50A1E7D8"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38.</w:t>
      </w:r>
      <w:r w:rsidRPr="00FB70D2">
        <w:rPr>
          <w:rFonts w:ascii="Times New Roman" w:hAnsi="Times New Roman" w:cs="Times New Roman"/>
          <w:sz w:val="24"/>
          <w:szCs w:val="24"/>
        </w:rPr>
        <w:tab/>
        <w:t xml:space="preserve">Graf GH, Li X, Kwon D, Belsky D, Widom CS. Biological aging in maltreated children followed up into middle adulthood. Psychoneuroendocrinology. </w:t>
      </w:r>
      <w:proofErr w:type="gramStart"/>
      <w:r w:rsidRPr="00FB70D2">
        <w:rPr>
          <w:rFonts w:ascii="Times New Roman" w:hAnsi="Times New Roman" w:cs="Times New Roman"/>
          <w:sz w:val="24"/>
          <w:szCs w:val="24"/>
        </w:rPr>
        <w:t>2022;143:105848</w:t>
      </w:r>
      <w:proofErr w:type="gramEnd"/>
      <w:r w:rsidRPr="00FB70D2">
        <w:rPr>
          <w:rFonts w:ascii="Times New Roman" w:hAnsi="Times New Roman" w:cs="Times New Roman"/>
          <w:sz w:val="24"/>
          <w:szCs w:val="24"/>
        </w:rPr>
        <w:t xml:space="preserve">. </w:t>
      </w:r>
    </w:p>
    <w:p w14:paraId="6E4825C7"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39.</w:t>
      </w:r>
      <w:r w:rsidRPr="00FB70D2">
        <w:rPr>
          <w:rFonts w:ascii="Times New Roman" w:hAnsi="Times New Roman" w:cs="Times New Roman"/>
          <w:sz w:val="24"/>
          <w:szCs w:val="24"/>
        </w:rPr>
        <w:tab/>
        <w:t xml:space="preserve">Anisimov V. Syndrome of accelerated aging induced by carcinogenic environmental factors. </w:t>
      </w:r>
      <w:proofErr w:type="spellStart"/>
      <w:r w:rsidRPr="00FB70D2">
        <w:rPr>
          <w:rFonts w:ascii="Times New Roman" w:hAnsi="Times New Roman" w:cs="Times New Roman"/>
          <w:sz w:val="24"/>
          <w:szCs w:val="24"/>
        </w:rPr>
        <w:t>Rossiiskii</w:t>
      </w:r>
      <w:proofErr w:type="spellEnd"/>
      <w:r w:rsidRPr="00FB70D2">
        <w:rPr>
          <w:rFonts w:ascii="Times New Roman" w:hAnsi="Times New Roman" w:cs="Times New Roman"/>
          <w:sz w:val="24"/>
          <w:szCs w:val="24"/>
        </w:rPr>
        <w:t xml:space="preserve"> </w:t>
      </w:r>
      <w:proofErr w:type="spellStart"/>
      <w:r w:rsidRPr="00FB70D2">
        <w:rPr>
          <w:rFonts w:ascii="Times New Roman" w:hAnsi="Times New Roman" w:cs="Times New Roman"/>
          <w:sz w:val="24"/>
          <w:szCs w:val="24"/>
        </w:rPr>
        <w:t>Fiziologicheskii</w:t>
      </w:r>
      <w:proofErr w:type="spellEnd"/>
      <w:r w:rsidRPr="00FB70D2">
        <w:rPr>
          <w:rFonts w:ascii="Times New Roman" w:hAnsi="Times New Roman" w:cs="Times New Roman"/>
          <w:sz w:val="24"/>
          <w:szCs w:val="24"/>
        </w:rPr>
        <w:t xml:space="preserve"> </w:t>
      </w:r>
      <w:proofErr w:type="spellStart"/>
      <w:r w:rsidRPr="00FB70D2">
        <w:rPr>
          <w:rFonts w:ascii="Times New Roman" w:hAnsi="Times New Roman" w:cs="Times New Roman"/>
          <w:sz w:val="24"/>
          <w:szCs w:val="24"/>
        </w:rPr>
        <w:t>Zhurnal</w:t>
      </w:r>
      <w:proofErr w:type="spellEnd"/>
      <w:r w:rsidRPr="00FB70D2">
        <w:rPr>
          <w:rFonts w:ascii="Times New Roman" w:hAnsi="Times New Roman" w:cs="Times New Roman"/>
          <w:sz w:val="24"/>
          <w:szCs w:val="24"/>
        </w:rPr>
        <w:t xml:space="preserve"> </w:t>
      </w:r>
      <w:proofErr w:type="spellStart"/>
      <w:r w:rsidRPr="00FB70D2">
        <w:rPr>
          <w:rFonts w:ascii="Times New Roman" w:hAnsi="Times New Roman" w:cs="Times New Roman"/>
          <w:sz w:val="24"/>
          <w:szCs w:val="24"/>
        </w:rPr>
        <w:t>Imeni</w:t>
      </w:r>
      <w:proofErr w:type="spellEnd"/>
      <w:r w:rsidRPr="00FB70D2">
        <w:rPr>
          <w:rFonts w:ascii="Times New Roman" w:hAnsi="Times New Roman" w:cs="Times New Roman"/>
          <w:sz w:val="24"/>
          <w:szCs w:val="24"/>
        </w:rPr>
        <w:t xml:space="preserve"> IM </w:t>
      </w:r>
      <w:proofErr w:type="spellStart"/>
      <w:r w:rsidRPr="00FB70D2">
        <w:rPr>
          <w:rFonts w:ascii="Times New Roman" w:hAnsi="Times New Roman" w:cs="Times New Roman"/>
          <w:sz w:val="24"/>
          <w:szCs w:val="24"/>
        </w:rPr>
        <w:t>Sechenova</w:t>
      </w:r>
      <w:proofErr w:type="spellEnd"/>
      <w:r w:rsidRPr="00FB70D2">
        <w:rPr>
          <w:rFonts w:ascii="Times New Roman" w:hAnsi="Times New Roman" w:cs="Times New Roman"/>
          <w:sz w:val="24"/>
          <w:szCs w:val="24"/>
        </w:rPr>
        <w:t xml:space="preserve">. 2010;96(8):817–33. </w:t>
      </w:r>
    </w:p>
    <w:p w14:paraId="60DE3B1A"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40.</w:t>
      </w:r>
      <w:r w:rsidRPr="00FB70D2">
        <w:rPr>
          <w:rFonts w:ascii="Times New Roman" w:hAnsi="Times New Roman" w:cs="Times New Roman"/>
          <w:sz w:val="24"/>
          <w:szCs w:val="24"/>
        </w:rPr>
        <w:tab/>
        <w:t xml:space="preserve">Hou J, Yin W, Li P, Hu C, Xu T, Cheng J, et al. Joint effect of polycyclic aromatic hydrocarbons and phthalates exposure on telomere length and lung function. Journal of Hazardous Materials. </w:t>
      </w:r>
      <w:proofErr w:type="gramStart"/>
      <w:r w:rsidRPr="00FB70D2">
        <w:rPr>
          <w:rFonts w:ascii="Times New Roman" w:hAnsi="Times New Roman" w:cs="Times New Roman"/>
          <w:sz w:val="24"/>
          <w:szCs w:val="24"/>
        </w:rPr>
        <w:t>2020;386:121663</w:t>
      </w:r>
      <w:proofErr w:type="gramEnd"/>
      <w:r w:rsidRPr="00FB70D2">
        <w:rPr>
          <w:rFonts w:ascii="Times New Roman" w:hAnsi="Times New Roman" w:cs="Times New Roman"/>
          <w:sz w:val="24"/>
          <w:szCs w:val="24"/>
        </w:rPr>
        <w:t xml:space="preserve">. </w:t>
      </w:r>
    </w:p>
    <w:p w14:paraId="488E3F5E"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41.</w:t>
      </w:r>
      <w:r w:rsidRPr="00FB70D2">
        <w:rPr>
          <w:rFonts w:ascii="Times New Roman" w:hAnsi="Times New Roman" w:cs="Times New Roman"/>
          <w:sz w:val="24"/>
          <w:szCs w:val="24"/>
        </w:rPr>
        <w:tab/>
        <w:t xml:space="preserve">Martens DS, Nawrot TS. Air pollution stress and the aging phenotype: the telomere connection. Current environmental health reports. </w:t>
      </w:r>
      <w:proofErr w:type="gramStart"/>
      <w:r w:rsidRPr="00FB70D2">
        <w:rPr>
          <w:rFonts w:ascii="Times New Roman" w:hAnsi="Times New Roman" w:cs="Times New Roman"/>
          <w:sz w:val="24"/>
          <w:szCs w:val="24"/>
        </w:rPr>
        <w:t>2016;3:258</w:t>
      </w:r>
      <w:proofErr w:type="gramEnd"/>
      <w:r w:rsidRPr="00FB70D2">
        <w:rPr>
          <w:rFonts w:ascii="Times New Roman" w:hAnsi="Times New Roman" w:cs="Times New Roman"/>
          <w:sz w:val="24"/>
          <w:szCs w:val="24"/>
        </w:rPr>
        <w:t xml:space="preserve">–69. </w:t>
      </w:r>
    </w:p>
    <w:p w14:paraId="1421DAB5"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42.</w:t>
      </w:r>
      <w:r w:rsidRPr="00FB70D2">
        <w:rPr>
          <w:rFonts w:ascii="Times New Roman" w:hAnsi="Times New Roman" w:cs="Times New Roman"/>
          <w:sz w:val="24"/>
          <w:szCs w:val="24"/>
        </w:rPr>
        <w:tab/>
        <w:t xml:space="preserve">Spring A. Short-and long-term impacts of </w:t>
      </w:r>
      <w:proofErr w:type="gramStart"/>
      <w:r w:rsidRPr="00FB70D2">
        <w:rPr>
          <w:rFonts w:ascii="Times New Roman" w:hAnsi="Times New Roman" w:cs="Times New Roman"/>
          <w:sz w:val="24"/>
          <w:szCs w:val="24"/>
        </w:rPr>
        <w:t>neighborhood built</w:t>
      </w:r>
      <w:proofErr w:type="gramEnd"/>
      <w:r w:rsidRPr="00FB70D2">
        <w:rPr>
          <w:rFonts w:ascii="Times New Roman" w:hAnsi="Times New Roman" w:cs="Times New Roman"/>
          <w:sz w:val="24"/>
          <w:szCs w:val="24"/>
        </w:rPr>
        <w:t xml:space="preserve"> environment on self-rated health of older adults. The Gerontologist. 2018;58(1):36–46. </w:t>
      </w:r>
    </w:p>
    <w:p w14:paraId="71D01842"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43.</w:t>
      </w:r>
      <w:r w:rsidRPr="00FB70D2">
        <w:rPr>
          <w:rFonts w:ascii="Times New Roman" w:hAnsi="Times New Roman" w:cs="Times New Roman"/>
          <w:sz w:val="24"/>
          <w:szCs w:val="24"/>
        </w:rPr>
        <w:tab/>
      </w:r>
      <w:proofErr w:type="spellStart"/>
      <w:r w:rsidRPr="00FB70D2">
        <w:rPr>
          <w:rFonts w:ascii="Times New Roman" w:hAnsi="Times New Roman" w:cs="Times New Roman"/>
          <w:sz w:val="24"/>
          <w:szCs w:val="24"/>
        </w:rPr>
        <w:t>Yannatos</w:t>
      </w:r>
      <w:proofErr w:type="spellEnd"/>
      <w:r w:rsidRPr="00FB70D2">
        <w:rPr>
          <w:rFonts w:ascii="Times New Roman" w:hAnsi="Times New Roman" w:cs="Times New Roman"/>
          <w:sz w:val="24"/>
          <w:szCs w:val="24"/>
        </w:rPr>
        <w:t xml:space="preserve"> I, Stites S, Brown RT, McMillan CT. Contributions of neighborhood social environment and air pollution exposure to Black-White disparities in epigenetic aging. </w:t>
      </w:r>
      <w:proofErr w:type="spellStart"/>
      <w:r w:rsidRPr="00FB70D2">
        <w:rPr>
          <w:rFonts w:ascii="Times New Roman" w:hAnsi="Times New Roman" w:cs="Times New Roman"/>
          <w:sz w:val="24"/>
          <w:szCs w:val="24"/>
        </w:rPr>
        <w:t>Plos</w:t>
      </w:r>
      <w:proofErr w:type="spellEnd"/>
      <w:r w:rsidRPr="00FB70D2">
        <w:rPr>
          <w:rFonts w:ascii="Times New Roman" w:hAnsi="Times New Roman" w:cs="Times New Roman"/>
          <w:sz w:val="24"/>
          <w:szCs w:val="24"/>
        </w:rPr>
        <w:t xml:space="preserve"> one. 2023;18(7</w:t>
      </w:r>
      <w:proofErr w:type="gramStart"/>
      <w:r w:rsidRPr="00FB70D2">
        <w:rPr>
          <w:rFonts w:ascii="Times New Roman" w:hAnsi="Times New Roman" w:cs="Times New Roman"/>
          <w:sz w:val="24"/>
          <w:szCs w:val="24"/>
        </w:rPr>
        <w:t>):e</w:t>
      </w:r>
      <w:proofErr w:type="gramEnd"/>
      <w:r w:rsidRPr="00FB70D2">
        <w:rPr>
          <w:rFonts w:ascii="Times New Roman" w:hAnsi="Times New Roman" w:cs="Times New Roman"/>
          <w:sz w:val="24"/>
          <w:szCs w:val="24"/>
        </w:rPr>
        <w:t xml:space="preserve">0287112. </w:t>
      </w:r>
    </w:p>
    <w:p w14:paraId="573F9941"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lastRenderedPageBreak/>
        <w:t>44.</w:t>
      </w:r>
      <w:r w:rsidRPr="00FB70D2">
        <w:rPr>
          <w:rFonts w:ascii="Times New Roman" w:hAnsi="Times New Roman" w:cs="Times New Roman"/>
          <w:sz w:val="24"/>
          <w:szCs w:val="24"/>
        </w:rPr>
        <w:tab/>
        <w:t xml:space="preserve">Graf GH, Crowe CL, Kothari M, Kwon D, Manly JJ, Turney IC, et al. Testing Black-White Disparities in Biological Aging Among Older Adults in the United States: Analysis of DNA-Methylation and Blood-Chemistry Methods. American journal of epidemiology. 2022;191(4):613–25. </w:t>
      </w:r>
    </w:p>
    <w:p w14:paraId="3DE7476D"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45.</w:t>
      </w:r>
      <w:r w:rsidRPr="00FB70D2">
        <w:rPr>
          <w:rFonts w:ascii="Times New Roman" w:hAnsi="Times New Roman" w:cs="Times New Roman"/>
          <w:sz w:val="24"/>
          <w:szCs w:val="24"/>
        </w:rPr>
        <w:tab/>
        <w:t xml:space="preserve">Graf GHJ, Zhang Y, Domingue BW, Harris KM, Kothari M, Kwon D, et al. </w:t>
      </w:r>
      <w:proofErr w:type="gramStart"/>
      <w:r w:rsidRPr="00FB70D2">
        <w:rPr>
          <w:rFonts w:ascii="Times New Roman" w:hAnsi="Times New Roman" w:cs="Times New Roman"/>
          <w:sz w:val="24"/>
          <w:szCs w:val="24"/>
        </w:rPr>
        <w:t>Social</w:t>
      </w:r>
      <w:proofErr w:type="gramEnd"/>
      <w:r w:rsidRPr="00FB70D2">
        <w:rPr>
          <w:rFonts w:ascii="Times New Roman" w:hAnsi="Times New Roman" w:cs="Times New Roman"/>
          <w:sz w:val="24"/>
          <w:szCs w:val="24"/>
        </w:rPr>
        <w:t xml:space="preserve"> mobility and biological aging among older adults in the United States. PNAS nexus. 2022;1(2</w:t>
      </w:r>
      <w:proofErr w:type="gramStart"/>
      <w:r w:rsidRPr="00FB70D2">
        <w:rPr>
          <w:rFonts w:ascii="Times New Roman" w:hAnsi="Times New Roman" w:cs="Times New Roman"/>
          <w:sz w:val="24"/>
          <w:szCs w:val="24"/>
        </w:rPr>
        <w:t>):pgac</w:t>
      </w:r>
      <w:proofErr w:type="gramEnd"/>
      <w:r w:rsidRPr="00FB70D2">
        <w:rPr>
          <w:rFonts w:ascii="Times New Roman" w:hAnsi="Times New Roman" w:cs="Times New Roman"/>
          <w:sz w:val="24"/>
          <w:szCs w:val="24"/>
        </w:rPr>
        <w:t xml:space="preserve">029. </w:t>
      </w:r>
    </w:p>
    <w:p w14:paraId="6CAC0141"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46.</w:t>
      </w:r>
      <w:r w:rsidRPr="00FB70D2">
        <w:rPr>
          <w:rFonts w:ascii="Times New Roman" w:hAnsi="Times New Roman" w:cs="Times New Roman"/>
          <w:sz w:val="24"/>
          <w:szCs w:val="24"/>
        </w:rPr>
        <w:tab/>
        <w:t xml:space="preserve">Lawrence KG, </w:t>
      </w:r>
      <w:proofErr w:type="spellStart"/>
      <w:r w:rsidRPr="00FB70D2">
        <w:rPr>
          <w:rFonts w:ascii="Times New Roman" w:hAnsi="Times New Roman" w:cs="Times New Roman"/>
          <w:sz w:val="24"/>
          <w:szCs w:val="24"/>
        </w:rPr>
        <w:t>Kresovich</w:t>
      </w:r>
      <w:proofErr w:type="spellEnd"/>
      <w:r w:rsidRPr="00FB70D2">
        <w:rPr>
          <w:rFonts w:ascii="Times New Roman" w:hAnsi="Times New Roman" w:cs="Times New Roman"/>
          <w:sz w:val="24"/>
          <w:szCs w:val="24"/>
        </w:rPr>
        <w:t xml:space="preserve"> JK, O’Brien KM, Hoang TT, Xu Z, Taylor JA, et al. Association of neighborhood deprivation with epigenetic aging using 4 clock metrics. JAMA network open. 2020;3(11</w:t>
      </w:r>
      <w:proofErr w:type="gramStart"/>
      <w:r w:rsidRPr="00FB70D2">
        <w:rPr>
          <w:rFonts w:ascii="Times New Roman" w:hAnsi="Times New Roman" w:cs="Times New Roman"/>
          <w:sz w:val="24"/>
          <w:szCs w:val="24"/>
        </w:rPr>
        <w:t>):e</w:t>
      </w:r>
      <w:proofErr w:type="gramEnd"/>
      <w:r w:rsidRPr="00FB70D2">
        <w:rPr>
          <w:rFonts w:ascii="Times New Roman" w:hAnsi="Times New Roman" w:cs="Times New Roman"/>
          <w:sz w:val="24"/>
          <w:szCs w:val="24"/>
        </w:rPr>
        <w:t xml:space="preserve">2024329–e2024329. </w:t>
      </w:r>
    </w:p>
    <w:p w14:paraId="1DB90098"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47.</w:t>
      </w:r>
      <w:r w:rsidRPr="00FB70D2">
        <w:rPr>
          <w:rFonts w:ascii="Times New Roman" w:hAnsi="Times New Roman" w:cs="Times New Roman"/>
          <w:sz w:val="24"/>
          <w:szCs w:val="24"/>
        </w:rPr>
        <w:tab/>
        <w:t xml:space="preserve">Belsky DW, Moffitt TE, Cohen AA, Corcoran DL, Levine ME, Prinz JA, et al. Eleven telomere, epigenetic clock, and biomarker-composite quantifications of biological aging: do they measure the same thing? American Journal of Epidemiology. 2018;187(6):1220–30. </w:t>
      </w:r>
    </w:p>
    <w:p w14:paraId="5D5882EF"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48.</w:t>
      </w:r>
      <w:r w:rsidRPr="00FB70D2">
        <w:rPr>
          <w:rFonts w:ascii="Times New Roman" w:hAnsi="Times New Roman" w:cs="Times New Roman"/>
          <w:sz w:val="24"/>
          <w:szCs w:val="24"/>
        </w:rPr>
        <w:tab/>
        <w:t xml:space="preserve">Levine ME, Lu AT, Quach A, Chen BH, Assimes TL, Bandinelli S, et al. An epigenetic biomarker of aging for lifespan and healthspan. Aging (Albany NY). 2018;10(4):573. </w:t>
      </w:r>
    </w:p>
    <w:p w14:paraId="27A4021D"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49.</w:t>
      </w:r>
      <w:r w:rsidRPr="00FB70D2">
        <w:rPr>
          <w:rFonts w:ascii="Times New Roman" w:hAnsi="Times New Roman" w:cs="Times New Roman"/>
          <w:sz w:val="24"/>
          <w:szCs w:val="24"/>
        </w:rPr>
        <w:tab/>
        <w:t>Liu Z, Chen X, Gill TM, Ma C, Crimmins EM, Levine ME. Associations of genetics, behaviors, and life course circumstances with a novel aging and healthspan measure: Evidence from the Health and Retirement Study. PLoS medicine. 2019;16(6</w:t>
      </w:r>
      <w:proofErr w:type="gramStart"/>
      <w:r w:rsidRPr="00FB70D2">
        <w:rPr>
          <w:rFonts w:ascii="Times New Roman" w:hAnsi="Times New Roman" w:cs="Times New Roman"/>
          <w:sz w:val="24"/>
          <w:szCs w:val="24"/>
        </w:rPr>
        <w:t>):e</w:t>
      </w:r>
      <w:proofErr w:type="gramEnd"/>
      <w:r w:rsidRPr="00FB70D2">
        <w:rPr>
          <w:rFonts w:ascii="Times New Roman" w:hAnsi="Times New Roman" w:cs="Times New Roman"/>
          <w:sz w:val="24"/>
          <w:szCs w:val="24"/>
        </w:rPr>
        <w:t xml:space="preserve">1002827. </w:t>
      </w:r>
    </w:p>
    <w:p w14:paraId="59F1CC9A"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50.</w:t>
      </w:r>
      <w:r w:rsidRPr="00FB70D2">
        <w:rPr>
          <w:rFonts w:ascii="Times New Roman" w:hAnsi="Times New Roman" w:cs="Times New Roman"/>
          <w:sz w:val="24"/>
          <w:szCs w:val="24"/>
        </w:rPr>
        <w:tab/>
        <w:t xml:space="preserve">Belsky DW, Caspi A, Arseneault L, Baccarelli A, Corcoran DL, Gao X, et al. Quantification of the pace of biological aging in humans through a blood test, the DunedinPoAm DNA methylation algorithm. Elife. 2020;9. </w:t>
      </w:r>
    </w:p>
    <w:p w14:paraId="2C432762"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51.</w:t>
      </w:r>
      <w:r w:rsidRPr="00FB70D2">
        <w:rPr>
          <w:rFonts w:ascii="Times New Roman" w:hAnsi="Times New Roman" w:cs="Times New Roman"/>
          <w:sz w:val="24"/>
          <w:szCs w:val="24"/>
        </w:rPr>
        <w:tab/>
        <w:t>Liu Z, Kuo PL, Horvath S, Crimmins E, Ferrucci L, Levine M. A new aging measure captures morbidity and mortality risk across diverse subpopulations from NHANES IV: a cohort study. PLoS medicine. 2018;15(12</w:t>
      </w:r>
      <w:proofErr w:type="gramStart"/>
      <w:r w:rsidRPr="00FB70D2">
        <w:rPr>
          <w:rFonts w:ascii="Times New Roman" w:hAnsi="Times New Roman" w:cs="Times New Roman"/>
          <w:sz w:val="24"/>
          <w:szCs w:val="24"/>
        </w:rPr>
        <w:t>):e</w:t>
      </w:r>
      <w:proofErr w:type="gramEnd"/>
      <w:r w:rsidRPr="00FB70D2">
        <w:rPr>
          <w:rFonts w:ascii="Times New Roman" w:hAnsi="Times New Roman" w:cs="Times New Roman"/>
          <w:sz w:val="24"/>
          <w:szCs w:val="24"/>
        </w:rPr>
        <w:t xml:space="preserve">1002718. </w:t>
      </w:r>
    </w:p>
    <w:p w14:paraId="274AA29C"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52.</w:t>
      </w:r>
      <w:r w:rsidRPr="00FB70D2">
        <w:rPr>
          <w:rFonts w:ascii="Times New Roman" w:hAnsi="Times New Roman" w:cs="Times New Roman"/>
          <w:sz w:val="24"/>
          <w:szCs w:val="24"/>
        </w:rPr>
        <w:tab/>
        <w:t xml:space="preserve">Li Q, Wang S, Milot E, Bergeron P, Ferrucci L, Fried LP, et al. Homeostatic dysregulation proceeds in parallel in multiple physiological systems. Aging cell. 2015;14(6):1103–12. </w:t>
      </w:r>
    </w:p>
    <w:p w14:paraId="754D0380"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53.</w:t>
      </w:r>
      <w:r w:rsidRPr="00FB70D2">
        <w:rPr>
          <w:rFonts w:ascii="Times New Roman" w:hAnsi="Times New Roman" w:cs="Times New Roman"/>
          <w:sz w:val="24"/>
          <w:szCs w:val="24"/>
        </w:rPr>
        <w:tab/>
        <w:t>Lee J, Phillips D, Wilkens J, Team G to GAD. Gateway to Global Aging Data: Resources for cross-national comparisons of family, social environment, and healthy aging. The Journals of Gerontology: Series B. 2021;76(Supplement_1</w:t>
      </w:r>
      <w:proofErr w:type="gramStart"/>
      <w:r w:rsidRPr="00FB70D2">
        <w:rPr>
          <w:rFonts w:ascii="Times New Roman" w:hAnsi="Times New Roman" w:cs="Times New Roman"/>
          <w:sz w:val="24"/>
          <w:szCs w:val="24"/>
        </w:rPr>
        <w:t>):S</w:t>
      </w:r>
      <w:proofErr w:type="gramEnd"/>
      <w:r w:rsidRPr="00FB70D2">
        <w:rPr>
          <w:rFonts w:ascii="Times New Roman" w:hAnsi="Times New Roman" w:cs="Times New Roman"/>
          <w:sz w:val="24"/>
          <w:szCs w:val="24"/>
        </w:rPr>
        <w:t xml:space="preserve">5–16. </w:t>
      </w:r>
    </w:p>
    <w:p w14:paraId="268C349F"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54.</w:t>
      </w:r>
      <w:r w:rsidRPr="00FB70D2">
        <w:rPr>
          <w:rFonts w:ascii="Times New Roman" w:hAnsi="Times New Roman" w:cs="Times New Roman"/>
          <w:sz w:val="24"/>
          <w:szCs w:val="24"/>
        </w:rPr>
        <w:tab/>
        <w:t xml:space="preserve">McDade TW, Harris KM. From society to cells and back again: new opportunities for discovery at the biosocial interface. Discover Social Science and Health. 2022;2(1):4. </w:t>
      </w:r>
    </w:p>
    <w:p w14:paraId="6BCB799F"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55.</w:t>
      </w:r>
      <w:r w:rsidRPr="00FB70D2">
        <w:rPr>
          <w:rFonts w:ascii="Times New Roman" w:hAnsi="Times New Roman" w:cs="Times New Roman"/>
          <w:sz w:val="24"/>
          <w:szCs w:val="24"/>
        </w:rPr>
        <w:tab/>
        <w:t>Ferrucci L, Gonzalez‐Freire M, Fabbri E, Simonsick E, Tanaka T, Moore Z, et al. Measuring biological aging in humans: A quest. Aging Cell. 2020;19(2</w:t>
      </w:r>
      <w:proofErr w:type="gramStart"/>
      <w:r w:rsidRPr="00FB70D2">
        <w:rPr>
          <w:rFonts w:ascii="Times New Roman" w:hAnsi="Times New Roman" w:cs="Times New Roman"/>
          <w:sz w:val="24"/>
          <w:szCs w:val="24"/>
        </w:rPr>
        <w:t>):e</w:t>
      </w:r>
      <w:proofErr w:type="gramEnd"/>
      <w:r w:rsidRPr="00FB70D2">
        <w:rPr>
          <w:rFonts w:ascii="Times New Roman" w:hAnsi="Times New Roman" w:cs="Times New Roman"/>
          <w:sz w:val="24"/>
          <w:szCs w:val="24"/>
        </w:rPr>
        <w:t xml:space="preserve">13080. </w:t>
      </w:r>
    </w:p>
    <w:p w14:paraId="7805BC00"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56.</w:t>
      </w:r>
      <w:r w:rsidRPr="00FB70D2">
        <w:rPr>
          <w:rFonts w:ascii="Times New Roman" w:hAnsi="Times New Roman" w:cs="Times New Roman"/>
          <w:sz w:val="24"/>
          <w:szCs w:val="24"/>
        </w:rPr>
        <w:tab/>
      </w:r>
      <w:proofErr w:type="spellStart"/>
      <w:r w:rsidRPr="00FB70D2">
        <w:rPr>
          <w:rFonts w:ascii="Times New Roman" w:hAnsi="Times New Roman" w:cs="Times New Roman"/>
          <w:sz w:val="24"/>
          <w:szCs w:val="24"/>
        </w:rPr>
        <w:t>Jylhävä</w:t>
      </w:r>
      <w:proofErr w:type="spellEnd"/>
      <w:r w:rsidRPr="00FB70D2">
        <w:rPr>
          <w:rFonts w:ascii="Times New Roman" w:hAnsi="Times New Roman" w:cs="Times New Roman"/>
          <w:sz w:val="24"/>
          <w:szCs w:val="24"/>
        </w:rPr>
        <w:t xml:space="preserve"> J, Pedersen NL, Hägg S. Biological age predictors. </w:t>
      </w:r>
      <w:proofErr w:type="spellStart"/>
      <w:r w:rsidRPr="00FB70D2">
        <w:rPr>
          <w:rFonts w:ascii="Times New Roman" w:hAnsi="Times New Roman" w:cs="Times New Roman"/>
          <w:sz w:val="24"/>
          <w:szCs w:val="24"/>
        </w:rPr>
        <w:t>EBioMedicine</w:t>
      </w:r>
      <w:proofErr w:type="spellEnd"/>
      <w:r w:rsidRPr="00FB70D2">
        <w:rPr>
          <w:rFonts w:ascii="Times New Roman" w:hAnsi="Times New Roman" w:cs="Times New Roman"/>
          <w:sz w:val="24"/>
          <w:szCs w:val="24"/>
        </w:rPr>
        <w:t xml:space="preserve">. </w:t>
      </w:r>
      <w:proofErr w:type="gramStart"/>
      <w:r w:rsidRPr="00FB70D2">
        <w:rPr>
          <w:rFonts w:ascii="Times New Roman" w:hAnsi="Times New Roman" w:cs="Times New Roman"/>
          <w:sz w:val="24"/>
          <w:szCs w:val="24"/>
        </w:rPr>
        <w:t>2017;21:29</w:t>
      </w:r>
      <w:proofErr w:type="gramEnd"/>
      <w:r w:rsidRPr="00FB70D2">
        <w:rPr>
          <w:rFonts w:ascii="Times New Roman" w:hAnsi="Times New Roman" w:cs="Times New Roman"/>
          <w:sz w:val="24"/>
          <w:szCs w:val="24"/>
        </w:rPr>
        <w:t xml:space="preserve">–36. </w:t>
      </w:r>
    </w:p>
    <w:p w14:paraId="0F0A33EE"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lastRenderedPageBreak/>
        <w:t>57.</w:t>
      </w:r>
      <w:r w:rsidRPr="00FB70D2">
        <w:rPr>
          <w:rFonts w:ascii="Times New Roman" w:hAnsi="Times New Roman" w:cs="Times New Roman"/>
          <w:sz w:val="24"/>
          <w:szCs w:val="24"/>
        </w:rPr>
        <w:tab/>
        <w:t>Jansen R, Han LK, Verhoeven JE, Aberg KA, van den Oord EC, Milaneschi Y, et al. An integrative study of five biological clocks in somatic and mental health. Elife. 2021;</w:t>
      </w:r>
      <w:proofErr w:type="gramStart"/>
      <w:r w:rsidRPr="00FB70D2">
        <w:rPr>
          <w:rFonts w:ascii="Times New Roman" w:hAnsi="Times New Roman" w:cs="Times New Roman"/>
          <w:sz w:val="24"/>
          <w:szCs w:val="24"/>
        </w:rPr>
        <w:t>10:e</w:t>
      </w:r>
      <w:proofErr w:type="gramEnd"/>
      <w:r w:rsidRPr="00FB70D2">
        <w:rPr>
          <w:rFonts w:ascii="Times New Roman" w:hAnsi="Times New Roman" w:cs="Times New Roman"/>
          <w:sz w:val="24"/>
          <w:szCs w:val="24"/>
        </w:rPr>
        <w:t xml:space="preserve">59479. </w:t>
      </w:r>
    </w:p>
    <w:p w14:paraId="1576E28B"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58.</w:t>
      </w:r>
      <w:r w:rsidRPr="00FB70D2">
        <w:rPr>
          <w:rFonts w:ascii="Times New Roman" w:hAnsi="Times New Roman" w:cs="Times New Roman"/>
          <w:sz w:val="24"/>
          <w:szCs w:val="24"/>
        </w:rPr>
        <w:tab/>
        <w:t xml:space="preserve">Li X, </w:t>
      </w:r>
      <w:proofErr w:type="spellStart"/>
      <w:r w:rsidRPr="00FB70D2">
        <w:rPr>
          <w:rFonts w:ascii="Times New Roman" w:hAnsi="Times New Roman" w:cs="Times New Roman"/>
          <w:sz w:val="24"/>
          <w:szCs w:val="24"/>
        </w:rPr>
        <w:t>Ploner</w:t>
      </w:r>
      <w:proofErr w:type="spellEnd"/>
      <w:r w:rsidRPr="00FB70D2">
        <w:rPr>
          <w:rFonts w:ascii="Times New Roman" w:hAnsi="Times New Roman" w:cs="Times New Roman"/>
          <w:sz w:val="24"/>
          <w:szCs w:val="24"/>
        </w:rPr>
        <w:t xml:space="preserve"> A, Wang Y, Magnusson PK, Reynolds C, Finkel D, et al. Longitudinal trajectories, correlations and mortality associations of nine biological ages across 20-years follow-up. Elife. 2020;</w:t>
      </w:r>
      <w:proofErr w:type="gramStart"/>
      <w:r w:rsidRPr="00FB70D2">
        <w:rPr>
          <w:rFonts w:ascii="Times New Roman" w:hAnsi="Times New Roman" w:cs="Times New Roman"/>
          <w:sz w:val="24"/>
          <w:szCs w:val="24"/>
        </w:rPr>
        <w:t>9:e</w:t>
      </w:r>
      <w:proofErr w:type="gramEnd"/>
      <w:r w:rsidRPr="00FB70D2">
        <w:rPr>
          <w:rFonts w:ascii="Times New Roman" w:hAnsi="Times New Roman" w:cs="Times New Roman"/>
          <w:sz w:val="24"/>
          <w:szCs w:val="24"/>
        </w:rPr>
        <w:t xml:space="preserve">51507. </w:t>
      </w:r>
    </w:p>
    <w:p w14:paraId="0CDDA100"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59.</w:t>
      </w:r>
      <w:r w:rsidRPr="00FB70D2">
        <w:rPr>
          <w:rFonts w:ascii="Times New Roman" w:hAnsi="Times New Roman" w:cs="Times New Roman"/>
          <w:sz w:val="24"/>
          <w:szCs w:val="24"/>
        </w:rPr>
        <w:tab/>
        <w:t xml:space="preserve">Crimmins EM. Lifespan and healthspan: past, present, and promise. The Gerontologist. 2015;55(6):901–11. </w:t>
      </w:r>
    </w:p>
    <w:p w14:paraId="2D7640D0"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60.</w:t>
      </w:r>
      <w:r w:rsidRPr="00FB70D2">
        <w:rPr>
          <w:rFonts w:ascii="Times New Roman" w:hAnsi="Times New Roman" w:cs="Times New Roman"/>
          <w:sz w:val="24"/>
          <w:szCs w:val="24"/>
        </w:rPr>
        <w:tab/>
        <w:t xml:space="preserve">Levine ME, Crimmins EM. Is 60 the new 50? Examining changes in biological age over the past two decades. Demography. 2018;55(2):387–402. </w:t>
      </w:r>
    </w:p>
    <w:p w14:paraId="2CA12DCD"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61.</w:t>
      </w:r>
      <w:r w:rsidRPr="00FB70D2">
        <w:rPr>
          <w:rFonts w:ascii="Times New Roman" w:hAnsi="Times New Roman" w:cs="Times New Roman"/>
          <w:sz w:val="24"/>
          <w:szCs w:val="24"/>
        </w:rPr>
        <w:tab/>
        <w:t xml:space="preserve">Galkin F, Mamoshina P, Aliper A, de Magalhães JP, </w:t>
      </w:r>
      <w:proofErr w:type="spellStart"/>
      <w:r w:rsidRPr="00FB70D2">
        <w:rPr>
          <w:rFonts w:ascii="Times New Roman" w:hAnsi="Times New Roman" w:cs="Times New Roman"/>
          <w:sz w:val="24"/>
          <w:szCs w:val="24"/>
        </w:rPr>
        <w:t>Gladyshev</w:t>
      </w:r>
      <w:proofErr w:type="spellEnd"/>
      <w:r w:rsidRPr="00FB70D2">
        <w:rPr>
          <w:rFonts w:ascii="Times New Roman" w:hAnsi="Times New Roman" w:cs="Times New Roman"/>
          <w:sz w:val="24"/>
          <w:szCs w:val="24"/>
        </w:rPr>
        <w:t xml:space="preserve"> VN, Zhavoronkov A. Biohorology and biomarkers of aging: Current state-of-the-art, challenges and opportunities. Ageing research reviews. </w:t>
      </w:r>
      <w:proofErr w:type="gramStart"/>
      <w:r w:rsidRPr="00FB70D2">
        <w:rPr>
          <w:rFonts w:ascii="Times New Roman" w:hAnsi="Times New Roman" w:cs="Times New Roman"/>
          <w:sz w:val="24"/>
          <w:szCs w:val="24"/>
        </w:rPr>
        <w:t>2020;60:101050</w:t>
      </w:r>
      <w:proofErr w:type="gramEnd"/>
      <w:r w:rsidRPr="00FB70D2">
        <w:rPr>
          <w:rFonts w:ascii="Times New Roman" w:hAnsi="Times New Roman" w:cs="Times New Roman"/>
          <w:sz w:val="24"/>
          <w:szCs w:val="24"/>
        </w:rPr>
        <w:t xml:space="preserve">. </w:t>
      </w:r>
    </w:p>
    <w:p w14:paraId="3E66DAD4"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62.</w:t>
      </w:r>
      <w:r w:rsidRPr="00FB70D2">
        <w:rPr>
          <w:rFonts w:ascii="Times New Roman" w:hAnsi="Times New Roman" w:cs="Times New Roman"/>
          <w:sz w:val="24"/>
          <w:szCs w:val="24"/>
        </w:rPr>
        <w:tab/>
        <w:t xml:space="preserve">National Health and Nutrition Examination Survey. About the National Health and Nutrition Examination Survey. 2017; </w:t>
      </w:r>
    </w:p>
    <w:p w14:paraId="0AE5CA31"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63.</w:t>
      </w:r>
      <w:r w:rsidRPr="00FB70D2">
        <w:rPr>
          <w:rFonts w:ascii="Times New Roman" w:hAnsi="Times New Roman" w:cs="Times New Roman"/>
          <w:sz w:val="24"/>
          <w:szCs w:val="24"/>
        </w:rPr>
        <w:tab/>
        <w:t xml:space="preserve">Ezzati-Rice TM. Sample design; third National Health and Nutrition Examination Survey. 1992; </w:t>
      </w:r>
    </w:p>
    <w:p w14:paraId="2C8A5EBE"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64.</w:t>
      </w:r>
      <w:r w:rsidRPr="00FB70D2">
        <w:rPr>
          <w:rFonts w:ascii="Times New Roman" w:hAnsi="Times New Roman" w:cs="Times New Roman"/>
          <w:sz w:val="24"/>
          <w:szCs w:val="24"/>
        </w:rPr>
        <w:tab/>
        <w:t xml:space="preserve">Statistics (US) NC for H. National health and nutrition examination survey: Analytic guidelines, 1999-2010. Department of Health and Human Services Public Health </w:t>
      </w:r>
      <w:proofErr w:type="spellStart"/>
      <w:r w:rsidRPr="00FB70D2">
        <w:rPr>
          <w:rFonts w:ascii="Times New Roman" w:hAnsi="Times New Roman" w:cs="Times New Roman"/>
          <w:sz w:val="24"/>
          <w:szCs w:val="24"/>
        </w:rPr>
        <w:t>Servic</w:t>
      </w:r>
      <w:proofErr w:type="spellEnd"/>
      <w:r w:rsidRPr="00FB70D2">
        <w:rPr>
          <w:rFonts w:ascii="Times New Roman" w:hAnsi="Times New Roman" w:cs="Times New Roman"/>
          <w:sz w:val="24"/>
          <w:szCs w:val="24"/>
        </w:rPr>
        <w:t xml:space="preserve">; 2013. </w:t>
      </w:r>
    </w:p>
    <w:p w14:paraId="5361678E"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65.</w:t>
      </w:r>
      <w:r w:rsidRPr="00FB70D2">
        <w:rPr>
          <w:rFonts w:ascii="Times New Roman" w:hAnsi="Times New Roman" w:cs="Times New Roman"/>
          <w:sz w:val="24"/>
          <w:szCs w:val="24"/>
        </w:rPr>
        <w:tab/>
        <w:t xml:space="preserve">Chen TC, Clark J, Riddles MK, Mohadjer LK, Fakhouri TH. National Health and Nutrition Examination Survey, 2015− 2018: sample design and estimation procedures. 2020; </w:t>
      </w:r>
    </w:p>
    <w:p w14:paraId="5ACE85D4"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66.</w:t>
      </w:r>
      <w:r w:rsidRPr="00FB70D2">
        <w:rPr>
          <w:rFonts w:ascii="Times New Roman" w:hAnsi="Times New Roman" w:cs="Times New Roman"/>
          <w:sz w:val="24"/>
          <w:szCs w:val="24"/>
        </w:rPr>
        <w:tab/>
        <w:t xml:space="preserve">Curtin LR, Mohadjer LK, Dohrmann SM, Kruszon-Moran D, Mirel LB, Carroll MD, et al. National Health and Nutrition Examination Survey: sample design, 2007-2010. Vital and health statistics Series 2, Data evaluation and methods research. 2013;(160):1–23. </w:t>
      </w:r>
    </w:p>
    <w:p w14:paraId="3FF10EA7"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67.</w:t>
      </w:r>
      <w:r w:rsidRPr="00FB70D2">
        <w:rPr>
          <w:rFonts w:ascii="Times New Roman" w:hAnsi="Times New Roman" w:cs="Times New Roman"/>
          <w:sz w:val="24"/>
          <w:szCs w:val="24"/>
        </w:rPr>
        <w:tab/>
        <w:t xml:space="preserve">Curtin LR, Mohadjer LK, Dohrmann SM, Montaquila JM, Kruszan-Moran D, Mirel LB, et al. The National Health and Nutrition Examination Survey: Sample Design, 1999-2006. Vital and health statistics Series 2, Data evaluation and methods research. 2012;(155):1–39. </w:t>
      </w:r>
    </w:p>
    <w:p w14:paraId="1DCBE114"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68.</w:t>
      </w:r>
      <w:r w:rsidRPr="00FB70D2">
        <w:rPr>
          <w:rFonts w:ascii="Times New Roman" w:hAnsi="Times New Roman" w:cs="Times New Roman"/>
          <w:sz w:val="24"/>
          <w:szCs w:val="24"/>
        </w:rPr>
        <w:tab/>
        <w:t xml:space="preserve">RStudio Team. RStudio: integrated development for R. 2015; </w:t>
      </w:r>
    </w:p>
    <w:p w14:paraId="31868FE3"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69.</w:t>
      </w:r>
      <w:r w:rsidRPr="00FB70D2">
        <w:rPr>
          <w:rFonts w:ascii="Times New Roman" w:hAnsi="Times New Roman" w:cs="Times New Roman"/>
          <w:sz w:val="24"/>
          <w:szCs w:val="24"/>
        </w:rPr>
        <w:tab/>
        <w:t xml:space="preserve">Ben-Shlomo Y, Kuh D. A life course approach to chronic disease epidemiology: conceptual models, empirical challenges and interdisciplinary perspectives. 2002;31(2):285–93. </w:t>
      </w:r>
    </w:p>
    <w:p w14:paraId="124AC638"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70.</w:t>
      </w:r>
      <w:r w:rsidRPr="00FB70D2">
        <w:rPr>
          <w:rFonts w:ascii="Times New Roman" w:hAnsi="Times New Roman" w:cs="Times New Roman"/>
          <w:sz w:val="24"/>
          <w:szCs w:val="24"/>
        </w:rPr>
        <w:tab/>
        <w:t xml:space="preserve">Yang Y, Land KC. Age-period-cohort analysis: </w:t>
      </w:r>
      <w:proofErr w:type="gramStart"/>
      <w:r w:rsidRPr="00FB70D2">
        <w:rPr>
          <w:rFonts w:ascii="Times New Roman" w:hAnsi="Times New Roman" w:cs="Times New Roman"/>
          <w:sz w:val="24"/>
          <w:szCs w:val="24"/>
        </w:rPr>
        <w:t>New</w:t>
      </w:r>
      <w:proofErr w:type="gramEnd"/>
      <w:r w:rsidRPr="00FB70D2">
        <w:rPr>
          <w:rFonts w:ascii="Times New Roman" w:hAnsi="Times New Roman" w:cs="Times New Roman"/>
          <w:sz w:val="24"/>
          <w:szCs w:val="24"/>
        </w:rPr>
        <w:t xml:space="preserve"> models, methods, and empirical applications. Taylor &amp; Francis; 2013. </w:t>
      </w:r>
    </w:p>
    <w:p w14:paraId="59A30226"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lastRenderedPageBreak/>
        <w:t>71.</w:t>
      </w:r>
      <w:r w:rsidRPr="00FB70D2">
        <w:rPr>
          <w:rFonts w:ascii="Times New Roman" w:hAnsi="Times New Roman" w:cs="Times New Roman"/>
          <w:sz w:val="24"/>
          <w:szCs w:val="24"/>
        </w:rPr>
        <w:tab/>
        <w:t xml:space="preserve">Keyes K, Li G. A comprehensive approach to age-period-cohort analysis. In OXFORD UNIV PRESS INC JOURNALS DEPT, 2001 EVANS RD, CARY, NC 27513 USA; 2008. p. S109–S109. </w:t>
      </w:r>
    </w:p>
    <w:p w14:paraId="5D96414C"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72.</w:t>
      </w:r>
      <w:r w:rsidRPr="00FB70D2">
        <w:rPr>
          <w:rFonts w:ascii="Times New Roman" w:hAnsi="Times New Roman" w:cs="Times New Roman"/>
          <w:sz w:val="24"/>
          <w:szCs w:val="24"/>
        </w:rPr>
        <w:tab/>
        <w:t>Masters R, Powers D. Clarifying assumptions in age-period-cohort analyses and validating results. PloS one. 2020;15(10</w:t>
      </w:r>
      <w:proofErr w:type="gramStart"/>
      <w:r w:rsidRPr="00FB70D2">
        <w:rPr>
          <w:rFonts w:ascii="Times New Roman" w:hAnsi="Times New Roman" w:cs="Times New Roman"/>
          <w:sz w:val="24"/>
          <w:szCs w:val="24"/>
        </w:rPr>
        <w:t>):e</w:t>
      </w:r>
      <w:proofErr w:type="gramEnd"/>
      <w:r w:rsidRPr="00FB70D2">
        <w:rPr>
          <w:rFonts w:ascii="Times New Roman" w:hAnsi="Times New Roman" w:cs="Times New Roman"/>
          <w:sz w:val="24"/>
          <w:szCs w:val="24"/>
        </w:rPr>
        <w:t xml:space="preserve">0238871. </w:t>
      </w:r>
    </w:p>
    <w:p w14:paraId="6853E41D"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73.</w:t>
      </w:r>
      <w:r w:rsidRPr="00FB70D2">
        <w:rPr>
          <w:rFonts w:ascii="Times New Roman" w:hAnsi="Times New Roman" w:cs="Times New Roman"/>
          <w:sz w:val="24"/>
          <w:szCs w:val="24"/>
        </w:rPr>
        <w:tab/>
        <w:t xml:space="preserve">Keyes KM, Li G. Age–period–cohort modeling. In: Injury research: Theories, methods, and approaches. Springer; 2011. p. 409–26. </w:t>
      </w:r>
    </w:p>
    <w:p w14:paraId="75630EC3"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74.</w:t>
      </w:r>
      <w:r w:rsidRPr="00FB70D2">
        <w:rPr>
          <w:rFonts w:ascii="Times New Roman" w:hAnsi="Times New Roman" w:cs="Times New Roman"/>
          <w:sz w:val="24"/>
          <w:szCs w:val="24"/>
        </w:rPr>
        <w:tab/>
        <w:t xml:space="preserve">Hamaker EL, Klugkist I. Bayesian estimation of multilevel models. Handbook of advanced multilevel analysis. 2011;137–61. </w:t>
      </w:r>
    </w:p>
    <w:p w14:paraId="743A540F"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75.</w:t>
      </w:r>
      <w:r w:rsidRPr="00FB70D2">
        <w:rPr>
          <w:rFonts w:ascii="Times New Roman" w:hAnsi="Times New Roman" w:cs="Times New Roman"/>
          <w:sz w:val="24"/>
          <w:szCs w:val="24"/>
        </w:rPr>
        <w:tab/>
        <w:t xml:space="preserve">Goodrich B, Gabry J, Ali I, Brilleman S. rstanarm: Bayesian applied regression modeling via Stan. R package version. 2020;2(1). </w:t>
      </w:r>
    </w:p>
    <w:p w14:paraId="7CB7C226"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76.</w:t>
      </w:r>
      <w:r w:rsidRPr="00FB70D2">
        <w:rPr>
          <w:rFonts w:ascii="Times New Roman" w:hAnsi="Times New Roman" w:cs="Times New Roman"/>
          <w:sz w:val="24"/>
          <w:szCs w:val="24"/>
        </w:rPr>
        <w:tab/>
        <w:t xml:space="preserve">Chen TC, Parker JD, Clark J, Shin HC, Rammon JR, Burt VL. National health and nutrition examination survey: estimation procedures, 2011–2014. 2018; </w:t>
      </w:r>
    </w:p>
    <w:p w14:paraId="30A03201"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77.</w:t>
      </w:r>
      <w:r w:rsidRPr="00FB70D2">
        <w:rPr>
          <w:rFonts w:ascii="Times New Roman" w:hAnsi="Times New Roman" w:cs="Times New Roman"/>
          <w:sz w:val="24"/>
          <w:szCs w:val="24"/>
        </w:rPr>
        <w:tab/>
        <w:t xml:space="preserve">Mirel LB, Mohadjer LK, Dohrmann SM, Clark J, Burt VL, Johnson CL, et al. National Health and Nutrition Examination Survey: estimation procedures, 2007-2010. Vital and health statistics Series 2, Data evaluation and methods research. 2013;(159):1–17. </w:t>
      </w:r>
    </w:p>
    <w:p w14:paraId="0CAB1021"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78.</w:t>
      </w:r>
      <w:r w:rsidRPr="00FB70D2">
        <w:rPr>
          <w:rFonts w:ascii="Times New Roman" w:hAnsi="Times New Roman" w:cs="Times New Roman"/>
          <w:sz w:val="24"/>
          <w:szCs w:val="24"/>
        </w:rPr>
        <w:tab/>
        <w:t xml:space="preserve">Robinson WR, Utz RL, Keyes KM, Martin CL, Yang Y. Birth cohort effects on abdominal obesity in the United States: the Silent Generation, Baby Boomers and Generation X. International journal of obesity. 2013;37(8):1129–34. </w:t>
      </w:r>
    </w:p>
    <w:p w14:paraId="19968B92"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79.</w:t>
      </w:r>
      <w:r w:rsidRPr="00FB70D2">
        <w:rPr>
          <w:rFonts w:ascii="Times New Roman" w:hAnsi="Times New Roman" w:cs="Times New Roman"/>
          <w:sz w:val="24"/>
          <w:szCs w:val="24"/>
        </w:rPr>
        <w:tab/>
        <w:t xml:space="preserve">Luo H, Pan W, Sloan F, Feinglos M, Wu B. Peer reviewed: Forty-year trends in tooth loss among American adults with and without diabetes mellitus: An age-period-cohort analysis. Preventing Chronic Disease. 2015;12. </w:t>
      </w:r>
    </w:p>
    <w:p w14:paraId="3F7521C0"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80.</w:t>
      </w:r>
      <w:r w:rsidRPr="00FB70D2">
        <w:rPr>
          <w:rFonts w:ascii="Times New Roman" w:hAnsi="Times New Roman" w:cs="Times New Roman"/>
          <w:sz w:val="24"/>
          <w:szCs w:val="24"/>
        </w:rPr>
        <w:tab/>
        <w:t xml:space="preserve">Chen Q, Elliott MR, Haziza D, Yang Y, Ghosh M, Little RJ, et al. Approaches to improving survey-weighted estimates. 2017; </w:t>
      </w:r>
    </w:p>
    <w:p w14:paraId="0B9CA80E"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81.</w:t>
      </w:r>
      <w:r w:rsidRPr="00FB70D2">
        <w:rPr>
          <w:rFonts w:ascii="Times New Roman" w:hAnsi="Times New Roman" w:cs="Times New Roman"/>
          <w:sz w:val="24"/>
          <w:szCs w:val="24"/>
        </w:rPr>
        <w:tab/>
        <w:t xml:space="preserve">Liu Y, Chen Q. Bayesian Inference of Finite Population Quantiles for Skewed Survey Data Using Skew-Normal Penalized Spline Regression. Journal of Survey Statistics and Methodology. 2020;8(4):792–816. </w:t>
      </w:r>
    </w:p>
    <w:p w14:paraId="13E7EABE"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82.</w:t>
      </w:r>
      <w:r w:rsidRPr="00FB70D2">
        <w:rPr>
          <w:rFonts w:ascii="Times New Roman" w:hAnsi="Times New Roman" w:cs="Times New Roman"/>
          <w:sz w:val="24"/>
          <w:szCs w:val="24"/>
        </w:rPr>
        <w:tab/>
        <w:t xml:space="preserve">Anthopolos R, Chen Q, Sedransk J, Thompson M, Meng G, Galea S. </w:t>
      </w:r>
      <w:proofErr w:type="gramStart"/>
      <w:r w:rsidRPr="00FB70D2">
        <w:rPr>
          <w:rFonts w:ascii="Times New Roman" w:hAnsi="Times New Roman" w:cs="Times New Roman"/>
          <w:sz w:val="24"/>
          <w:szCs w:val="24"/>
        </w:rPr>
        <w:t>A</w:t>
      </w:r>
      <w:proofErr w:type="gramEnd"/>
      <w:r w:rsidRPr="00FB70D2">
        <w:rPr>
          <w:rFonts w:ascii="Times New Roman" w:hAnsi="Times New Roman" w:cs="Times New Roman"/>
          <w:sz w:val="24"/>
          <w:szCs w:val="24"/>
        </w:rPr>
        <w:t xml:space="preserve"> Bayesian growth mixture model for complex survey data: clustering post-disaster PTSD trajectories. Revision submitted to Annals of Applied Statistics. 2023; </w:t>
      </w:r>
    </w:p>
    <w:p w14:paraId="432543B4"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83.</w:t>
      </w:r>
      <w:r w:rsidRPr="00FB70D2">
        <w:rPr>
          <w:rFonts w:ascii="Times New Roman" w:hAnsi="Times New Roman" w:cs="Times New Roman"/>
          <w:sz w:val="24"/>
          <w:szCs w:val="24"/>
        </w:rPr>
        <w:tab/>
        <w:t xml:space="preserve">Yang Y, Schulhofer-Wohl S, Fu WJ, Land KC. The intrinsic estimator for age-period-cohort analysis: what it is and how to use it. American Journal of Sociology. 2008;113(6):1697–736. </w:t>
      </w:r>
    </w:p>
    <w:p w14:paraId="07A33194"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84.</w:t>
      </w:r>
      <w:r w:rsidRPr="00FB70D2">
        <w:rPr>
          <w:rFonts w:ascii="Times New Roman" w:hAnsi="Times New Roman" w:cs="Times New Roman"/>
          <w:sz w:val="24"/>
          <w:szCs w:val="24"/>
        </w:rPr>
        <w:tab/>
        <w:t xml:space="preserve">Keyes KM, Li G. A multiphase method for estimating cohort effects in age-period contingency table data. Annals of epidemiology. 2010;20(10):779–85. </w:t>
      </w:r>
    </w:p>
    <w:p w14:paraId="1AB19E6F"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lastRenderedPageBreak/>
        <w:t>85.</w:t>
      </w:r>
      <w:r w:rsidRPr="00FB70D2">
        <w:rPr>
          <w:rFonts w:ascii="Times New Roman" w:hAnsi="Times New Roman" w:cs="Times New Roman"/>
          <w:sz w:val="24"/>
          <w:szCs w:val="24"/>
        </w:rPr>
        <w:tab/>
        <w:t xml:space="preserve">Case A, Deaton A. Rising morbidity and mortality in midlife among white non-Hispanic Americans in the 21st century. Proceedings of the National Academy of Sciences. 2015;112(49):15078–83. </w:t>
      </w:r>
    </w:p>
    <w:p w14:paraId="2B17CD7C"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86.</w:t>
      </w:r>
      <w:r w:rsidRPr="00FB70D2">
        <w:rPr>
          <w:rFonts w:ascii="Times New Roman" w:hAnsi="Times New Roman" w:cs="Times New Roman"/>
          <w:sz w:val="24"/>
          <w:szCs w:val="24"/>
        </w:rPr>
        <w:tab/>
        <w:t xml:space="preserve">Tilstra AM, Simon DH, Masters RK. Trends in “deaths of despair” among working-aged White and Black Americans, 1990–2017. American journal of epidemiology. 2021;190(9):1751–9. </w:t>
      </w:r>
    </w:p>
    <w:p w14:paraId="4B32DAA0"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87.</w:t>
      </w:r>
      <w:r w:rsidRPr="00FB70D2">
        <w:rPr>
          <w:rFonts w:ascii="Times New Roman" w:hAnsi="Times New Roman" w:cs="Times New Roman"/>
          <w:sz w:val="24"/>
          <w:szCs w:val="24"/>
        </w:rPr>
        <w:tab/>
      </w:r>
      <w:proofErr w:type="spellStart"/>
      <w:r w:rsidRPr="00FB70D2">
        <w:rPr>
          <w:rFonts w:ascii="Times New Roman" w:hAnsi="Times New Roman" w:cs="Times New Roman"/>
          <w:sz w:val="24"/>
          <w:szCs w:val="24"/>
        </w:rPr>
        <w:t>Modrek</w:t>
      </w:r>
      <w:proofErr w:type="spellEnd"/>
      <w:r w:rsidRPr="00FB70D2">
        <w:rPr>
          <w:rFonts w:ascii="Times New Roman" w:hAnsi="Times New Roman" w:cs="Times New Roman"/>
          <w:sz w:val="24"/>
          <w:szCs w:val="24"/>
        </w:rPr>
        <w:t xml:space="preserve"> S, Hamad R, Cullen MR. Psychological well-being during the great recession: changes in mental health care utilization in an occupational cohort. American Journal of Public Health. 2015;105(2):304–10. </w:t>
      </w:r>
    </w:p>
    <w:p w14:paraId="78F9F806"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88.</w:t>
      </w:r>
      <w:r w:rsidRPr="00FB70D2">
        <w:rPr>
          <w:rFonts w:ascii="Times New Roman" w:hAnsi="Times New Roman" w:cs="Times New Roman"/>
          <w:sz w:val="24"/>
          <w:szCs w:val="24"/>
        </w:rPr>
        <w:tab/>
        <w:t xml:space="preserve">Forbes MK, Krueger RF. The great recession and mental health in the United States. Clinical Psychological Science. 2019;7(5):900–13. </w:t>
      </w:r>
    </w:p>
    <w:p w14:paraId="28ACFE75"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89.</w:t>
      </w:r>
      <w:r w:rsidRPr="00FB70D2">
        <w:rPr>
          <w:rFonts w:ascii="Times New Roman" w:hAnsi="Times New Roman" w:cs="Times New Roman"/>
          <w:sz w:val="24"/>
          <w:szCs w:val="24"/>
        </w:rPr>
        <w:tab/>
        <w:t>Dagher RK, Chen J, Thomas SB. Gender differences in mental health outcomes before, during, and after the Great Recession. PLoS One. 2015;10(5</w:t>
      </w:r>
      <w:proofErr w:type="gramStart"/>
      <w:r w:rsidRPr="00FB70D2">
        <w:rPr>
          <w:rFonts w:ascii="Times New Roman" w:hAnsi="Times New Roman" w:cs="Times New Roman"/>
          <w:sz w:val="24"/>
          <w:szCs w:val="24"/>
        </w:rPr>
        <w:t>):e</w:t>
      </w:r>
      <w:proofErr w:type="gramEnd"/>
      <w:r w:rsidRPr="00FB70D2">
        <w:rPr>
          <w:rFonts w:ascii="Times New Roman" w:hAnsi="Times New Roman" w:cs="Times New Roman"/>
          <w:sz w:val="24"/>
          <w:szCs w:val="24"/>
        </w:rPr>
        <w:t xml:space="preserve">0124103. </w:t>
      </w:r>
    </w:p>
    <w:p w14:paraId="0FAAA726"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90.</w:t>
      </w:r>
      <w:r w:rsidRPr="00FB70D2">
        <w:rPr>
          <w:rFonts w:ascii="Times New Roman" w:hAnsi="Times New Roman" w:cs="Times New Roman"/>
          <w:sz w:val="24"/>
          <w:szCs w:val="24"/>
        </w:rPr>
        <w:tab/>
        <w:t>Martínez-</w:t>
      </w:r>
      <w:proofErr w:type="spellStart"/>
      <w:r w:rsidRPr="00FB70D2">
        <w:rPr>
          <w:rFonts w:ascii="Times New Roman" w:hAnsi="Times New Roman" w:cs="Times New Roman"/>
          <w:sz w:val="24"/>
          <w:szCs w:val="24"/>
        </w:rPr>
        <w:t>Alés</w:t>
      </w:r>
      <w:proofErr w:type="spellEnd"/>
      <w:r w:rsidRPr="00FB70D2">
        <w:rPr>
          <w:rFonts w:ascii="Times New Roman" w:hAnsi="Times New Roman" w:cs="Times New Roman"/>
          <w:sz w:val="24"/>
          <w:szCs w:val="24"/>
        </w:rPr>
        <w:t xml:space="preserve"> G, Keyes KM. Fatal and non-fatal self-injury in the USA: Critical review of current trends and innovations in prevention. Current psychiatry reports. </w:t>
      </w:r>
      <w:proofErr w:type="gramStart"/>
      <w:r w:rsidRPr="00FB70D2">
        <w:rPr>
          <w:rFonts w:ascii="Times New Roman" w:hAnsi="Times New Roman" w:cs="Times New Roman"/>
          <w:sz w:val="24"/>
          <w:szCs w:val="24"/>
        </w:rPr>
        <w:t>2019;21:1</w:t>
      </w:r>
      <w:proofErr w:type="gramEnd"/>
      <w:r w:rsidRPr="00FB70D2">
        <w:rPr>
          <w:rFonts w:ascii="Times New Roman" w:hAnsi="Times New Roman" w:cs="Times New Roman"/>
          <w:sz w:val="24"/>
          <w:szCs w:val="24"/>
        </w:rPr>
        <w:t xml:space="preserve">–11. </w:t>
      </w:r>
    </w:p>
    <w:p w14:paraId="20DB0BB6"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91.</w:t>
      </w:r>
      <w:r w:rsidRPr="00FB70D2">
        <w:rPr>
          <w:rFonts w:ascii="Times New Roman" w:hAnsi="Times New Roman" w:cs="Times New Roman"/>
          <w:sz w:val="24"/>
          <w:szCs w:val="24"/>
        </w:rPr>
        <w:tab/>
        <w:t xml:space="preserve">Hoots B, Vivolo-Kantor A, Seth P. The rise in non-fatal and fatal overdoses involving stimulants with and without opioids in the United States. Addiction. 2020;115(5):946–58. </w:t>
      </w:r>
    </w:p>
    <w:p w14:paraId="0E5D13B8"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92.</w:t>
      </w:r>
      <w:r w:rsidRPr="00FB70D2">
        <w:rPr>
          <w:rFonts w:ascii="Times New Roman" w:hAnsi="Times New Roman" w:cs="Times New Roman"/>
          <w:sz w:val="24"/>
          <w:szCs w:val="24"/>
        </w:rPr>
        <w:tab/>
        <w:t xml:space="preserve">Margerison-Zilko C, Goldman-Mellor S, Falconi A, Downing J. Health impacts of the great recession: a critical review. Current epidemiology reports. </w:t>
      </w:r>
      <w:proofErr w:type="gramStart"/>
      <w:r w:rsidRPr="00FB70D2">
        <w:rPr>
          <w:rFonts w:ascii="Times New Roman" w:hAnsi="Times New Roman" w:cs="Times New Roman"/>
          <w:sz w:val="24"/>
          <w:szCs w:val="24"/>
        </w:rPr>
        <w:t>2016;3:81</w:t>
      </w:r>
      <w:proofErr w:type="gramEnd"/>
      <w:r w:rsidRPr="00FB70D2">
        <w:rPr>
          <w:rFonts w:ascii="Times New Roman" w:hAnsi="Times New Roman" w:cs="Times New Roman"/>
          <w:sz w:val="24"/>
          <w:szCs w:val="24"/>
        </w:rPr>
        <w:t xml:space="preserve">–91. </w:t>
      </w:r>
    </w:p>
    <w:p w14:paraId="23CA4214"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93.</w:t>
      </w:r>
      <w:r w:rsidRPr="00FB70D2">
        <w:rPr>
          <w:rFonts w:ascii="Times New Roman" w:hAnsi="Times New Roman" w:cs="Times New Roman"/>
          <w:sz w:val="24"/>
          <w:szCs w:val="24"/>
        </w:rPr>
        <w:tab/>
        <w:t xml:space="preserve">Kolodny A, Courtwright DT, Hwang CS, Kreiner P, Eadie JL, Clark TW, et al. The prescription opioid and heroin crisis: a public health approach to an epidemic of addiction. Annual review of public health. </w:t>
      </w:r>
      <w:proofErr w:type="gramStart"/>
      <w:r w:rsidRPr="00FB70D2">
        <w:rPr>
          <w:rFonts w:ascii="Times New Roman" w:hAnsi="Times New Roman" w:cs="Times New Roman"/>
          <w:sz w:val="24"/>
          <w:szCs w:val="24"/>
        </w:rPr>
        <w:t>2015;36:559</w:t>
      </w:r>
      <w:proofErr w:type="gramEnd"/>
      <w:r w:rsidRPr="00FB70D2">
        <w:rPr>
          <w:rFonts w:ascii="Times New Roman" w:hAnsi="Times New Roman" w:cs="Times New Roman"/>
          <w:sz w:val="24"/>
          <w:szCs w:val="24"/>
        </w:rPr>
        <w:t xml:space="preserve">–74. </w:t>
      </w:r>
    </w:p>
    <w:p w14:paraId="2155B0A4" w14:textId="77777777" w:rsidR="008054E0" w:rsidRPr="00FB70D2" w:rsidRDefault="008054E0" w:rsidP="008054E0">
      <w:pPr>
        <w:pStyle w:val="Bibliography"/>
        <w:rPr>
          <w:rFonts w:ascii="Times New Roman" w:hAnsi="Times New Roman" w:cs="Times New Roman"/>
          <w:sz w:val="24"/>
          <w:szCs w:val="24"/>
        </w:rPr>
      </w:pPr>
      <w:r w:rsidRPr="00FB70D2">
        <w:rPr>
          <w:rFonts w:ascii="Times New Roman" w:hAnsi="Times New Roman" w:cs="Times New Roman"/>
          <w:sz w:val="24"/>
          <w:szCs w:val="24"/>
        </w:rPr>
        <w:t>94.</w:t>
      </w:r>
      <w:r w:rsidRPr="00FB70D2">
        <w:rPr>
          <w:rFonts w:ascii="Times New Roman" w:hAnsi="Times New Roman" w:cs="Times New Roman"/>
          <w:sz w:val="24"/>
          <w:szCs w:val="24"/>
        </w:rPr>
        <w:tab/>
        <w:t xml:space="preserve">Phillips JK, Ford MA, Bonnie RJ, National Academies of Sciences, Medicine. Trends in opioid use, harms, and treatment. In: Pain Management and the opioid epidemic: balancing societal and individual benefits and risks of prescription opioid use. National Academies Press (US); 2017. </w:t>
      </w:r>
    </w:p>
    <w:bookmarkEnd w:id="6"/>
    <w:p w14:paraId="17481D2F" w14:textId="5FE855EE" w:rsidR="003F16AA" w:rsidRPr="00B84387" w:rsidRDefault="003F16AA" w:rsidP="00F449F1">
      <w:pPr>
        <w:spacing w:after="0"/>
        <w:rPr>
          <w:rFonts w:ascii="Times New Roman" w:hAnsi="Times New Roman" w:cs="Times New Roman"/>
          <w:sz w:val="24"/>
          <w:szCs w:val="24"/>
        </w:rPr>
      </w:pPr>
    </w:p>
    <w:p w14:paraId="0C8A892E" w14:textId="77777777" w:rsidR="00B23D14" w:rsidRPr="00B84387" w:rsidRDefault="00B23D14">
      <w:pPr>
        <w:rPr>
          <w:rFonts w:ascii="Times New Roman" w:eastAsiaTheme="majorEastAsia" w:hAnsi="Times New Roman" w:cs="Times New Roman"/>
          <w:color w:val="2F5496" w:themeColor="accent1" w:themeShade="BF"/>
          <w:sz w:val="24"/>
          <w:szCs w:val="24"/>
        </w:rPr>
        <w:sectPr w:rsidR="00B23D14" w:rsidRPr="00B84387" w:rsidSect="00B55154">
          <w:pgSz w:w="12240" w:h="15840"/>
          <w:pgMar w:top="1440" w:right="1440" w:bottom="1440" w:left="1440" w:header="720" w:footer="720" w:gutter="0"/>
          <w:cols w:space="720"/>
          <w:docGrid w:linePitch="360"/>
        </w:sectPr>
      </w:pPr>
    </w:p>
    <w:p w14:paraId="438CA862" w14:textId="60CC46D8" w:rsidR="00065D09" w:rsidRPr="00B84387" w:rsidRDefault="00065D09" w:rsidP="00065D09">
      <w:pPr>
        <w:pStyle w:val="Heading2"/>
        <w:rPr>
          <w:rFonts w:ascii="Times New Roman" w:hAnsi="Times New Roman" w:cs="Times New Roman"/>
          <w:sz w:val="24"/>
          <w:szCs w:val="24"/>
        </w:rPr>
      </w:pPr>
      <w:r w:rsidRPr="00B84387">
        <w:rPr>
          <w:rFonts w:ascii="Times New Roman" w:hAnsi="Times New Roman" w:cs="Times New Roman"/>
          <w:sz w:val="24"/>
          <w:szCs w:val="24"/>
        </w:rPr>
        <w:lastRenderedPageBreak/>
        <w:t>Tables and Figures</w:t>
      </w:r>
    </w:p>
    <w:p w14:paraId="032DD8BD" w14:textId="77777777" w:rsidR="00065D09" w:rsidRPr="00B84387" w:rsidRDefault="00065D09" w:rsidP="002355ED">
      <w:pPr>
        <w:spacing w:after="0"/>
        <w:rPr>
          <w:rFonts w:ascii="Times New Roman" w:hAnsi="Times New Roman" w:cs="Times New Roman"/>
          <w:sz w:val="24"/>
          <w:szCs w:val="24"/>
        </w:rPr>
      </w:pPr>
    </w:p>
    <w:p w14:paraId="18B43939" w14:textId="3E8F2623" w:rsidR="00065D09" w:rsidRPr="00B84387" w:rsidRDefault="00065D09" w:rsidP="00FB70D2">
      <w:pPr>
        <w:spacing w:after="0" w:line="480" w:lineRule="auto"/>
        <w:contextualSpacing/>
        <w:jc w:val="both"/>
        <w:rPr>
          <w:rFonts w:ascii="Times New Roman" w:hAnsi="Times New Roman" w:cs="Times New Roman"/>
          <w:sz w:val="24"/>
          <w:szCs w:val="24"/>
        </w:rPr>
      </w:pPr>
      <w:bookmarkStart w:id="7" w:name="_Hlk156670332"/>
      <w:r w:rsidRPr="00B84387">
        <w:rPr>
          <w:rFonts w:ascii="Times New Roman" w:hAnsi="Times New Roman" w:cs="Times New Roman"/>
          <w:b/>
          <w:bCs/>
          <w:sz w:val="24"/>
          <w:szCs w:val="24"/>
        </w:rPr>
        <w:t>Table 1. Characteristics of analytic sample, stratified by race and sex.</w:t>
      </w:r>
      <w:r w:rsidRPr="00B84387">
        <w:rPr>
          <w:rFonts w:ascii="Times New Roman" w:hAnsi="Times New Roman" w:cs="Times New Roman"/>
          <w:sz w:val="24"/>
          <w:szCs w:val="24"/>
        </w:rPr>
        <w:t xml:space="preserve"> Our primary analytic sample included all participants in the 1999-2018 waves of continuous NHANES who provided blood samples during the Mobile Examination Center (MEC) exam </w:t>
      </w:r>
      <w:r w:rsidR="000900C2" w:rsidRPr="00B84387">
        <w:rPr>
          <w:rFonts w:ascii="Times New Roman" w:hAnsi="Times New Roman" w:cs="Times New Roman"/>
          <w:sz w:val="24"/>
          <w:szCs w:val="24"/>
        </w:rPr>
        <w:t xml:space="preserve">and for whom biological aging measures could be calculated </w:t>
      </w:r>
      <w:r w:rsidRPr="00B84387">
        <w:rPr>
          <w:rFonts w:ascii="Times New Roman" w:hAnsi="Times New Roman" w:cs="Times New Roman"/>
          <w:sz w:val="24"/>
          <w:szCs w:val="24"/>
        </w:rPr>
        <w:t xml:space="preserve">(n=29,487). Biological-aging algorithms were trained using NHANES III data and projected into the primary analytic sample. </w:t>
      </w:r>
    </w:p>
    <w:p w14:paraId="3B31E008" w14:textId="3F1B39CD" w:rsidR="00065D09" w:rsidRPr="00B84387" w:rsidRDefault="00065D09" w:rsidP="00FB70D2">
      <w:pPr>
        <w:spacing w:after="0" w:line="480" w:lineRule="auto"/>
        <w:contextualSpacing/>
        <w:rPr>
          <w:rFonts w:ascii="Times New Roman" w:hAnsi="Times New Roman" w:cs="Times New Roman"/>
          <w:sz w:val="24"/>
          <w:szCs w:val="24"/>
        </w:rPr>
      </w:pPr>
    </w:p>
    <w:p w14:paraId="1ED9B08E" w14:textId="58741757" w:rsidR="00065D09" w:rsidRPr="00B84387" w:rsidRDefault="005B5057" w:rsidP="00FB70D2">
      <w:pPr>
        <w:spacing w:after="0" w:line="480" w:lineRule="auto"/>
        <w:contextualSpacing/>
        <w:jc w:val="center"/>
        <w:rPr>
          <w:rFonts w:ascii="Times New Roman" w:hAnsi="Times New Roman" w:cs="Times New Roman"/>
          <w:sz w:val="24"/>
          <w:szCs w:val="24"/>
        </w:rPr>
      </w:pPr>
      <w:r w:rsidRPr="00B84387">
        <w:rPr>
          <w:rFonts w:ascii="Times New Roman" w:hAnsi="Times New Roman" w:cs="Times New Roman"/>
          <w:noProof/>
          <w:sz w:val="24"/>
          <w:szCs w:val="24"/>
        </w:rPr>
        <w:drawing>
          <wp:inline distT="0" distB="0" distL="0" distR="0" wp14:anchorId="78B03959" wp14:editId="0C9F0873">
            <wp:extent cx="5643707" cy="2314507"/>
            <wp:effectExtent l="0" t="0" r="0" b="0"/>
            <wp:docPr id="90801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16974" name=""/>
                    <pic:cNvPicPr/>
                  </pic:nvPicPr>
                  <pic:blipFill>
                    <a:blip r:embed="rId10"/>
                    <a:stretch>
                      <a:fillRect/>
                    </a:stretch>
                  </pic:blipFill>
                  <pic:spPr>
                    <a:xfrm>
                      <a:off x="0" y="0"/>
                      <a:ext cx="5654253" cy="2318832"/>
                    </a:xfrm>
                    <a:prstGeom prst="rect">
                      <a:avLst/>
                    </a:prstGeom>
                  </pic:spPr>
                </pic:pic>
              </a:graphicData>
            </a:graphic>
          </wp:inline>
        </w:drawing>
      </w:r>
    </w:p>
    <w:p w14:paraId="7BDD6EED" w14:textId="77777777" w:rsidR="000900C2" w:rsidRPr="00B84387" w:rsidRDefault="000900C2" w:rsidP="00FB70D2">
      <w:pPr>
        <w:spacing w:after="0" w:line="480" w:lineRule="auto"/>
        <w:contextualSpacing/>
        <w:rPr>
          <w:rFonts w:ascii="Times New Roman" w:hAnsi="Times New Roman" w:cs="Times New Roman"/>
          <w:sz w:val="24"/>
          <w:szCs w:val="24"/>
        </w:rPr>
      </w:pPr>
    </w:p>
    <w:p w14:paraId="04A61CA3" w14:textId="77777777" w:rsidR="001A2BF0" w:rsidRPr="00B84387" w:rsidRDefault="001A2BF0" w:rsidP="00FB70D2">
      <w:pPr>
        <w:spacing w:line="480" w:lineRule="auto"/>
        <w:contextualSpacing/>
        <w:rPr>
          <w:rFonts w:ascii="Times New Roman" w:hAnsi="Times New Roman" w:cs="Times New Roman"/>
          <w:b/>
          <w:bCs/>
          <w:sz w:val="24"/>
          <w:szCs w:val="24"/>
        </w:rPr>
      </w:pPr>
      <w:r w:rsidRPr="00B84387">
        <w:rPr>
          <w:rFonts w:ascii="Times New Roman" w:hAnsi="Times New Roman" w:cs="Times New Roman"/>
          <w:b/>
          <w:bCs/>
          <w:sz w:val="24"/>
          <w:szCs w:val="24"/>
        </w:rPr>
        <w:br w:type="page"/>
      </w:r>
    </w:p>
    <w:p w14:paraId="54346169" w14:textId="77777777" w:rsidR="00B522BF" w:rsidRPr="00B84387" w:rsidRDefault="00B522BF" w:rsidP="00FB70D2">
      <w:pPr>
        <w:spacing w:after="0" w:line="480" w:lineRule="auto"/>
        <w:contextualSpacing/>
        <w:jc w:val="both"/>
        <w:rPr>
          <w:rFonts w:ascii="Times New Roman" w:hAnsi="Times New Roman" w:cs="Times New Roman"/>
          <w:b/>
          <w:bCs/>
          <w:sz w:val="24"/>
          <w:szCs w:val="24"/>
        </w:rPr>
      </w:pPr>
    </w:p>
    <w:p w14:paraId="7ABFD31A" w14:textId="35BA2901" w:rsidR="00F76ACB" w:rsidRPr="00B84387" w:rsidRDefault="00F76ACB" w:rsidP="00FB70D2">
      <w:pPr>
        <w:spacing w:after="0" w:line="480" w:lineRule="auto"/>
        <w:contextualSpacing/>
        <w:jc w:val="both"/>
        <w:rPr>
          <w:rFonts w:ascii="Times New Roman" w:hAnsi="Times New Roman" w:cs="Times New Roman"/>
          <w:sz w:val="24"/>
          <w:szCs w:val="24"/>
        </w:rPr>
      </w:pPr>
      <w:r w:rsidRPr="00B84387">
        <w:rPr>
          <w:rFonts w:ascii="Times New Roman" w:hAnsi="Times New Roman" w:cs="Times New Roman"/>
          <w:b/>
          <w:bCs/>
          <w:sz w:val="24"/>
          <w:szCs w:val="24"/>
        </w:rPr>
        <w:t xml:space="preserve">Table 2. </w:t>
      </w:r>
      <w:bookmarkStart w:id="8" w:name="_Hlk146637720"/>
      <w:r w:rsidRPr="00B84387">
        <w:rPr>
          <w:rFonts w:ascii="Times New Roman" w:hAnsi="Times New Roman" w:cs="Times New Roman"/>
          <w:b/>
          <w:bCs/>
          <w:sz w:val="24"/>
          <w:szCs w:val="24"/>
        </w:rPr>
        <w:t>Results of APC decomposition using Bayesian Hierarchical Age-Period-Cohort models (PhenoAge)</w:t>
      </w:r>
      <w:bookmarkEnd w:id="8"/>
      <w:r w:rsidRPr="00B84387">
        <w:rPr>
          <w:rFonts w:ascii="Times New Roman" w:hAnsi="Times New Roman" w:cs="Times New Roman"/>
          <w:b/>
          <w:bCs/>
          <w:sz w:val="24"/>
          <w:szCs w:val="24"/>
        </w:rPr>
        <w:t xml:space="preserve">. </w:t>
      </w:r>
      <w:r w:rsidRPr="00B84387">
        <w:rPr>
          <w:rFonts w:ascii="Times New Roman" w:hAnsi="Times New Roman" w:cs="Times New Roman"/>
          <w:sz w:val="24"/>
          <w:szCs w:val="24"/>
        </w:rPr>
        <w:t>APC decomposition was performed using three-factor Bayesian multilevel model</w:t>
      </w:r>
      <w:r w:rsidR="00843194" w:rsidRPr="00B84387">
        <w:rPr>
          <w:rFonts w:ascii="Times New Roman" w:hAnsi="Times New Roman" w:cs="Times New Roman"/>
          <w:sz w:val="24"/>
          <w:szCs w:val="24"/>
        </w:rPr>
        <w:t>s</w:t>
      </w:r>
      <w:r w:rsidRPr="00B84387">
        <w:rPr>
          <w:rFonts w:ascii="Times New Roman" w:hAnsi="Times New Roman" w:cs="Times New Roman"/>
          <w:sz w:val="24"/>
          <w:szCs w:val="24"/>
        </w:rPr>
        <w:t>, both in the full sample and separately by race-sex strata. We treated age as a level-1 fixed effect and period and cohort as level-2 random effects</w:t>
      </w:r>
      <w:r w:rsidR="00843194" w:rsidRPr="00B84387">
        <w:rPr>
          <w:rFonts w:ascii="Times New Roman" w:hAnsi="Times New Roman" w:cs="Times New Roman"/>
          <w:sz w:val="24"/>
          <w:szCs w:val="24"/>
        </w:rPr>
        <w:t>. S</w:t>
      </w:r>
      <w:r w:rsidRPr="00B84387">
        <w:rPr>
          <w:rFonts w:ascii="Times New Roman" w:hAnsi="Times New Roman" w:cs="Times New Roman"/>
          <w:sz w:val="24"/>
          <w:szCs w:val="24"/>
        </w:rPr>
        <w:t>urvey weights were log-transformed and included as a level-1 covariate while sampling strata and clusters were included as random effects. Effect-sizes are denominated in standard-deviation (SD) units of biological-age advancement, and are interpretable as the estimated independent effects of age, period, and cohort on biological aging. We tested the level of uncertainty around our estimates using 90% credible intervals (credible intervals excluding the null value are indicated using the * symbol).</w:t>
      </w:r>
    </w:p>
    <w:p w14:paraId="2C128948" w14:textId="21C2327F" w:rsidR="00F76ACB" w:rsidRPr="00B84387" w:rsidRDefault="00DB063E" w:rsidP="00FB70D2">
      <w:pPr>
        <w:spacing w:before="240" w:after="0" w:line="480" w:lineRule="auto"/>
        <w:contextualSpacing/>
        <w:jc w:val="both"/>
        <w:rPr>
          <w:rFonts w:ascii="Times New Roman" w:hAnsi="Times New Roman" w:cs="Times New Roman"/>
          <w:sz w:val="24"/>
          <w:szCs w:val="24"/>
        </w:rPr>
      </w:pPr>
      <w:r w:rsidRPr="00B84387">
        <w:rPr>
          <w:rFonts w:ascii="Times New Roman" w:hAnsi="Times New Roman" w:cs="Times New Roman"/>
          <w:noProof/>
          <w:sz w:val="24"/>
          <w:szCs w:val="24"/>
        </w:rPr>
        <w:drawing>
          <wp:inline distT="0" distB="0" distL="0" distR="0" wp14:anchorId="3242F833" wp14:editId="23DD7CE8">
            <wp:extent cx="6858000" cy="3858260"/>
            <wp:effectExtent l="0" t="0" r="0" b="8890"/>
            <wp:docPr id="1687695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858260"/>
                    </a:xfrm>
                    <a:prstGeom prst="rect">
                      <a:avLst/>
                    </a:prstGeom>
                    <a:noFill/>
                    <a:ln>
                      <a:noFill/>
                    </a:ln>
                  </pic:spPr>
                </pic:pic>
              </a:graphicData>
            </a:graphic>
          </wp:inline>
        </w:drawing>
      </w:r>
    </w:p>
    <w:p w14:paraId="5E294ADF" w14:textId="77777777" w:rsidR="00F76ACB" w:rsidRPr="00B84387" w:rsidRDefault="00F76ACB" w:rsidP="00FB70D2">
      <w:pPr>
        <w:spacing w:after="0" w:line="480" w:lineRule="auto"/>
        <w:contextualSpacing/>
        <w:rPr>
          <w:rFonts w:ascii="Times New Roman" w:hAnsi="Times New Roman" w:cs="Times New Roman"/>
          <w:sz w:val="24"/>
          <w:szCs w:val="24"/>
        </w:rPr>
      </w:pPr>
    </w:p>
    <w:p w14:paraId="712A444B" w14:textId="77777777" w:rsidR="00F76ACB" w:rsidRPr="00B84387" w:rsidRDefault="00F76ACB" w:rsidP="00FB70D2">
      <w:pPr>
        <w:spacing w:after="0" w:line="480" w:lineRule="auto"/>
        <w:contextualSpacing/>
        <w:jc w:val="center"/>
        <w:rPr>
          <w:rFonts w:ascii="Times New Roman" w:hAnsi="Times New Roman" w:cs="Times New Roman"/>
          <w:sz w:val="24"/>
          <w:szCs w:val="24"/>
        </w:rPr>
      </w:pPr>
    </w:p>
    <w:p w14:paraId="7D8AF80A" w14:textId="77777777" w:rsidR="00F76ACB" w:rsidRPr="00B84387" w:rsidRDefault="00F76ACB" w:rsidP="00FB70D2">
      <w:pPr>
        <w:spacing w:after="0" w:line="480" w:lineRule="auto"/>
        <w:contextualSpacing/>
        <w:jc w:val="center"/>
        <w:rPr>
          <w:rFonts w:ascii="Times New Roman" w:hAnsi="Times New Roman" w:cs="Times New Roman"/>
          <w:sz w:val="24"/>
          <w:szCs w:val="24"/>
        </w:rPr>
      </w:pPr>
    </w:p>
    <w:p w14:paraId="575A8F24" w14:textId="77777777" w:rsidR="00F76ACB" w:rsidRPr="00B84387" w:rsidRDefault="00F76ACB" w:rsidP="00FB70D2">
      <w:pPr>
        <w:spacing w:after="0" w:line="480" w:lineRule="auto"/>
        <w:contextualSpacing/>
        <w:jc w:val="both"/>
        <w:rPr>
          <w:rFonts w:ascii="Times New Roman" w:hAnsi="Times New Roman" w:cs="Times New Roman"/>
          <w:b/>
          <w:bCs/>
          <w:sz w:val="24"/>
          <w:szCs w:val="24"/>
        </w:rPr>
      </w:pPr>
    </w:p>
    <w:p w14:paraId="6EA57526" w14:textId="77777777" w:rsidR="00F76ACB" w:rsidRPr="00B84387" w:rsidRDefault="00F76ACB" w:rsidP="00FB70D2">
      <w:pPr>
        <w:spacing w:after="0" w:line="480" w:lineRule="auto"/>
        <w:contextualSpacing/>
        <w:jc w:val="both"/>
        <w:rPr>
          <w:rFonts w:ascii="Times New Roman" w:hAnsi="Times New Roman" w:cs="Times New Roman"/>
          <w:b/>
          <w:bCs/>
          <w:sz w:val="24"/>
          <w:szCs w:val="24"/>
        </w:rPr>
        <w:sectPr w:rsidR="00F76ACB" w:rsidRPr="00B84387" w:rsidSect="00B55154">
          <w:pgSz w:w="12240" w:h="15840"/>
          <w:pgMar w:top="720" w:right="720" w:bottom="720" w:left="720" w:header="720" w:footer="720" w:gutter="0"/>
          <w:cols w:space="720"/>
          <w:docGrid w:linePitch="360"/>
        </w:sectPr>
      </w:pPr>
    </w:p>
    <w:p w14:paraId="02E709A6" w14:textId="7F1A290C" w:rsidR="000B0DCE" w:rsidRPr="00B84387" w:rsidRDefault="009E1B3D" w:rsidP="00FB70D2">
      <w:pPr>
        <w:spacing w:after="0" w:line="480" w:lineRule="auto"/>
        <w:contextualSpacing/>
        <w:jc w:val="both"/>
        <w:rPr>
          <w:rFonts w:ascii="Times New Roman" w:hAnsi="Times New Roman" w:cs="Times New Roman"/>
          <w:b/>
          <w:bCs/>
          <w:sz w:val="24"/>
          <w:szCs w:val="24"/>
        </w:rPr>
      </w:pPr>
      <w:r w:rsidRPr="00B84387">
        <w:rPr>
          <w:rFonts w:ascii="Times New Roman" w:hAnsi="Times New Roman" w:cs="Times New Roman"/>
          <w:b/>
          <w:bCs/>
          <w:sz w:val="24"/>
          <w:szCs w:val="24"/>
        </w:rPr>
        <w:lastRenderedPageBreak/>
        <w:t xml:space="preserve">Figure 1. </w:t>
      </w:r>
      <w:bookmarkStart w:id="9" w:name="_Hlk147161298"/>
      <w:r w:rsidR="00FA7833" w:rsidRPr="00B84387">
        <w:rPr>
          <w:rFonts w:ascii="Times New Roman" w:hAnsi="Times New Roman" w:cs="Times New Roman"/>
          <w:b/>
          <w:bCs/>
          <w:sz w:val="24"/>
          <w:szCs w:val="24"/>
        </w:rPr>
        <w:t>PhenoAge</w:t>
      </w:r>
      <w:r w:rsidRPr="00B84387">
        <w:rPr>
          <w:rFonts w:ascii="Times New Roman" w:hAnsi="Times New Roman" w:cs="Times New Roman"/>
          <w:b/>
          <w:bCs/>
          <w:sz w:val="24"/>
          <w:szCs w:val="24"/>
        </w:rPr>
        <w:t xml:space="preserve"> advancement in </w:t>
      </w:r>
      <w:r w:rsidR="00C85093" w:rsidRPr="00B84387">
        <w:rPr>
          <w:rFonts w:ascii="Times New Roman" w:hAnsi="Times New Roman" w:cs="Times New Roman"/>
          <w:b/>
          <w:bCs/>
          <w:sz w:val="24"/>
          <w:szCs w:val="24"/>
        </w:rPr>
        <w:t xml:space="preserve">among Black Americans and White Americans in the United States, </w:t>
      </w:r>
      <w:r w:rsidR="00855350" w:rsidRPr="00B84387">
        <w:rPr>
          <w:rFonts w:ascii="Times New Roman" w:hAnsi="Times New Roman" w:cs="Times New Roman"/>
          <w:b/>
          <w:bCs/>
          <w:sz w:val="24"/>
          <w:szCs w:val="24"/>
        </w:rPr>
        <w:t>NHANES III and continuous NHANES (</w:t>
      </w:r>
      <w:r w:rsidRPr="00B84387">
        <w:rPr>
          <w:rFonts w:ascii="Times New Roman" w:hAnsi="Times New Roman" w:cs="Times New Roman"/>
          <w:b/>
          <w:bCs/>
          <w:sz w:val="24"/>
          <w:szCs w:val="24"/>
        </w:rPr>
        <w:t>1991-2018</w:t>
      </w:r>
      <w:r w:rsidR="00855350" w:rsidRPr="00B84387">
        <w:rPr>
          <w:rFonts w:ascii="Times New Roman" w:hAnsi="Times New Roman" w:cs="Times New Roman"/>
          <w:b/>
          <w:bCs/>
          <w:sz w:val="24"/>
          <w:szCs w:val="24"/>
        </w:rPr>
        <w:t>)</w:t>
      </w:r>
      <w:r w:rsidRPr="00B84387">
        <w:rPr>
          <w:rFonts w:ascii="Times New Roman" w:hAnsi="Times New Roman" w:cs="Times New Roman"/>
          <w:b/>
          <w:bCs/>
          <w:sz w:val="24"/>
          <w:szCs w:val="24"/>
        </w:rPr>
        <w:t xml:space="preserve">. </w:t>
      </w:r>
      <w:bookmarkStart w:id="10" w:name="_Hlk147161306"/>
      <w:bookmarkEnd w:id="9"/>
      <w:r w:rsidRPr="00B84387">
        <w:rPr>
          <w:rFonts w:ascii="Times New Roman" w:hAnsi="Times New Roman" w:cs="Times New Roman"/>
          <w:sz w:val="24"/>
          <w:szCs w:val="24"/>
        </w:rPr>
        <w:t xml:space="preserve">The figure shows mean biological-age advancements </w:t>
      </w:r>
      <w:r w:rsidR="009E0399" w:rsidRPr="00B84387">
        <w:rPr>
          <w:rFonts w:ascii="Times New Roman" w:hAnsi="Times New Roman" w:cs="Times New Roman"/>
          <w:sz w:val="24"/>
          <w:szCs w:val="24"/>
        </w:rPr>
        <w:t xml:space="preserve">(measured using the PhenoAge algorithm), </w:t>
      </w:r>
      <w:r w:rsidR="006A32DD" w:rsidRPr="00B84387">
        <w:rPr>
          <w:rFonts w:ascii="Times New Roman" w:hAnsi="Times New Roman" w:cs="Times New Roman"/>
          <w:sz w:val="24"/>
          <w:szCs w:val="24"/>
        </w:rPr>
        <w:t>sample-weighted to the U.S. population</w:t>
      </w:r>
      <w:r w:rsidR="009E0399" w:rsidRPr="00B84387">
        <w:rPr>
          <w:rFonts w:ascii="Times New Roman" w:hAnsi="Times New Roman" w:cs="Times New Roman"/>
          <w:sz w:val="24"/>
          <w:szCs w:val="24"/>
        </w:rPr>
        <w:t xml:space="preserve"> at the time of measurement</w:t>
      </w:r>
      <w:r w:rsidR="006A32DD" w:rsidRPr="00B84387">
        <w:rPr>
          <w:rFonts w:ascii="Times New Roman" w:hAnsi="Times New Roman" w:cs="Times New Roman"/>
          <w:sz w:val="24"/>
          <w:szCs w:val="24"/>
        </w:rPr>
        <w:t>.</w:t>
      </w:r>
      <w:r w:rsidR="00E5284E" w:rsidRPr="00B84387">
        <w:rPr>
          <w:rFonts w:ascii="Times New Roman" w:hAnsi="Times New Roman" w:cs="Times New Roman"/>
          <w:sz w:val="24"/>
          <w:szCs w:val="24"/>
        </w:rPr>
        <w:t xml:space="preserve"> Less-advanced biological aging values indicate that participants are physiologically younger, while more-advanced biological aging values indicate that participants are physiologically older. Population aging trajectories appeared to be improving over the 1990s, with the lowest values at the 1999-2002 measurement wave. Then, </w:t>
      </w:r>
      <w:r w:rsidR="0063517B" w:rsidRPr="00B84387">
        <w:rPr>
          <w:rFonts w:ascii="Times New Roman" w:hAnsi="Times New Roman" w:cs="Times New Roman"/>
          <w:sz w:val="24"/>
          <w:szCs w:val="24"/>
        </w:rPr>
        <w:t xml:space="preserve">population aging trajectories appeared to reverse, </w:t>
      </w:r>
      <w:r w:rsidR="00E5284E" w:rsidRPr="00B84387">
        <w:rPr>
          <w:rFonts w:ascii="Times New Roman" w:hAnsi="Times New Roman" w:cs="Times New Roman"/>
          <w:sz w:val="24"/>
          <w:szCs w:val="24"/>
        </w:rPr>
        <w:t xml:space="preserve">reverting back to </w:t>
      </w:r>
      <w:r w:rsidR="00A249B8" w:rsidRPr="00B84387">
        <w:rPr>
          <w:rFonts w:ascii="Times New Roman" w:hAnsi="Times New Roman" w:cs="Times New Roman"/>
          <w:sz w:val="24"/>
          <w:szCs w:val="24"/>
        </w:rPr>
        <w:t xml:space="preserve">(or exceeding) </w:t>
      </w:r>
      <w:r w:rsidR="00E5284E" w:rsidRPr="00B84387">
        <w:rPr>
          <w:rFonts w:ascii="Times New Roman" w:hAnsi="Times New Roman" w:cs="Times New Roman"/>
          <w:sz w:val="24"/>
          <w:szCs w:val="24"/>
        </w:rPr>
        <w:t>early-1990s levels</w:t>
      </w:r>
      <w:r w:rsidR="0063517B" w:rsidRPr="00B84387">
        <w:rPr>
          <w:rFonts w:ascii="Times New Roman" w:hAnsi="Times New Roman" w:cs="Times New Roman"/>
          <w:sz w:val="24"/>
          <w:szCs w:val="24"/>
        </w:rPr>
        <w:t xml:space="preserve"> </w:t>
      </w:r>
      <w:r w:rsidR="005E1E44" w:rsidRPr="00B84387">
        <w:rPr>
          <w:rFonts w:ascii="Times New Roman" w:hAnsi="Times New Roman" w:cs="Times New Roman"/>
          <w:sz w:val="24"/>
          <w:szCs w:val="24"/>
        </w:rPr>
        <w:t>between</w:t>
      </w:r>
      <w:r w:rsidR="0063517B" w:rsidRPr="00B84387">
        <w:rPr>
          <w:rFonts w:ascii="Times New Roman" w:hAnsi="Times New Roman" w:cs="Times New Roman"/>
          <w:sz w:val="24"/>
          <w:szCs w:val="24"/>
        </w:rPr>
        <w:t xml:space="preserve"> 2012</w:t>
      </w:r>
      <w:r w:rsidR="00676D59" w:rsidRPr="00B84387">
        <w:rPr>
          <w:rFonts w:ascii="Times New Roman" w:hAnsi="Times New Roman" w:cs="Times New Roman"/>
          <w:sz w:val="24"/>
          <w:szCs w:val="24"/>
        </w:rPr>
        <w:t xml:space="preserve"> and 2</w:t>
      </w:r>
      <w:r w:rsidR="0063517B" w:rsidRPr="00B84387">
        <w:rPr>
          <w:rFonts w:ascii="Times New Roman" w:hAnsi="Times New Roman" w:cs="Times New Roman"/>
          <w:sz w:val="24"/>
          <w:szCs w:val="24"/>
        </w:rPr>
        <w:t>018.</w:t>
      </w:r>
      <w:bookmarkEnd w:id="10"/>
    </w:p>
    <w:p w14:paraId="1C91581E" w14:textId="77777777" w:rsidR="009E0399" w:rsidRPr="00B84387" w:rsidRDefault="009E0399" w:rsidP="00FB70D2">
      <w:pPr>
        <w:spacing w:after="0" w:line="480" w:lineRule="auto"/>
        <w:contextualSpacing/>
        <w:jc w:val="both"/>
        <w:rPr>
          <w:rFonts w:ascii="Times New Roman" w:hAnsi="Times New Roman" w:cs="Times New Roman"/>
          <w:b/>
          <w:bCs/>
          <w:sz w:val="24"/>
          <w:szCs w:val="24"/>
        </w:rPr>
      </w:pPr>
    </w:p>
    <w:p w14:paraId="2D894233" w14:textId="77777777" w:rsidR="00FB594A" w:rsidRPr="00B84387" w:rsidRDefault="009E0399" w:rsidP="00FB70D2">
      <w:pPr>
        <w:spacing w:after="0" w:line="480" w:lineRule="auto"/>
        <w:contextualSpacing/>
        <w:jc w:val="center"/>
        <w:rPr>
          <w:rFonts w:ascii="Times New Roman" w:hAnsi="Times New Roman" w:cs="Times New Roman"/>
          <w:b/>
          <w:bCs/>
          <w:sz w:val="24"/>
          <w:szCs w:val="24"/>
        </w:rPr>
      </w:pPr>
      <w:r w:rsidRPr="00B84387">
        <w:rPr>
          <w:rFonts w:ascii="Times New Roman" w:hAnsi="Times New Roman" w:cs="Times New Roman"/>
          <w:b/>
          <w:bCs/>
          <w:noProof/>
          <w:sz w:val="24"/>
          <w:szCs w:val="24"/>
        </w:rPr>
        <w:drawing>
          <wp:inline distT="0" distB="0" distL="0" distR="0" wp14:anchorId="6271EFD2" wp14:editId="480A3490">
            <wp:extent cx="3940233" cy="2560320"/>
            <wp:effectExtent l="0" t="0" r="3175" b="0"/>
            <wp:docPr id="386571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0233" cy="2560320"/>
                    </a:xfrm>
                    <a:prstGeom prst="rect">
                      <a:avLst/>
                    </a:prstGeom>
                    <a:noFill/>
                  </pic:spPr>
                </pic:pic>
              </a:graphicData>
            </a:graphic>
          </wp:inline>
        </w:drawing>
      </w:r>
    </w:p>
    <w:p w14:paraId="4D8F248C" w14:textId="77777777" w:rsidR="00FB594A" w:rsidRPr="00B84387" w:rsidRDefault="00FB594A" w:rsidP="00FB70D2">
      <w:pPr>
        <w:spacing w:after="0" w:line="480" w:lineRule="auto"/>
        <w:contextualSpacing/>
        <w:jc w:val="center"/>
        <w:rPr>
          <w:rFonts w:ascii="Times New Roman" w:hAnsi="Times New Roman" w:cs="Times New Roman"/>
          <w:b/>
          <w:bCs/>
          <w:sz w:val="24"/>
          <w:szCs w:val="24"/>
        </w:rPr>
      </w:pPr>
    </w:p>
    <w:p w14:paraId="15870DD0" w14:textId="79AE066D" w:rsidR="00E21573" w:rsidRPr="00B84387" w:rsidRDefault="00D501CC" w:rsidP="00FB70D2">
      <w:pPr>
        <w:spacing w:after="0" w:line="480" w:lineRule="auto"/>
        <w:contextualSpacing/>
        <w:rPr>
          <w:rFonts w:ascii="Times New Roman" w:hAnsi="Times New Roman" w:cs="Times New Roman"/>
          <w:sz w:val="24"/>
          <w:szCs w:val="24"/>
        </w:rPr>
      </w:pPr>
      <w:r w:rsidRPr="00B84387">
        <w:rPr>
          <w:rFonts w:ascii="Times New Roman" w:hAnsi="Times New Roman" w:cs="Times New Roman"/>
          <w:b/>
          <w:bCs/>
          <w:sz w:val="24"/>
          <w:szCs w:val="24"/>
        </w:rPr>
        <w:t xml:space="preserve">Figure </w:t>
      </w:r>
      <w:r w:rsidR="00335612" w:rsidRPr="00B84387">
        <w:rPr>
          <w:rFonts w:ascii="Times New Roman" w:hAnsi="Times New Roman" w:cs="Times New Roman"/>
          <w:b/>
          <w:bCs/>
          <w:sz w:val="24"/>
          <w:szCs w:val="24"/>
        </w:rPr>
        <w:t>2</w:t>
      </w:r>
      <w:r w:rsidRPr="00B84387">
        <w:rPr>
          <w:rFonts w:ascii="Times New Roman" w:hAnsi="Times New Roman" w:cs="Times New Roman"/>
          <w:b/>
          <w:bCs/>
          <w:sz w:val="24"/>
          <w:szCs w:val="24"/>
        </w:rPr>
        <w:t xml:space="preserve">. </w:t>
      </w:r>
      <w:r w:rsidR="00112F1D" w:rsidRPr="00B84387">
        <w:rPr>
          <w:rFonts w:ascii="Times New Roman" w:hAnsi="Times New Roman" w:cs="Times New Roman"/>
          <w:b/>
          <w:bCs/>
          <w:sz w:val="24"/>
          <w:szCs w:val="24"/>
        </w:rPr>
        <w:t>Sample-weighted m</w:t>
      </w:r>
      <w:r w:rsidRPr="00B84387">
        <w:rPr>
          <w:rFonts w:ascii="Times New Roman" w:hAnsi="Times New Roman" w:cs="Times New Roman"/>
          <w:b/>
          <w:bCs/>
          <w:sz w:val="24"/>
          <w:szCs w:val="24"/>
        </w:rPr>
        <w:t>ean biological-age advancement by age and measurement wave (period)</w:t>
      </w:r>
      <w:r w:rsidR="00855350" w:rsidRPr="00B84387">
        <w:rPr>
          <w:rFonts w:ascii="Times New Roman" w:hAnsi="Times New Roman" w:cs="Times New Roman"/>
          <w:b/>
          <w:bCs/>
          <w:sz w:val="24"/>
          <w:szCs w:val="24"/>
        </w:rPr>
        <w:t xml:space="preserve"> in analytic sample, 1999-2018</w:t>
      </w:r>
      <w:r w:rsidRPr="00B84387">
        <w:rPr>
          <w:rFonts w:ascii="Times New Roman" w:hAnsi="Times New Roman" w:cs="Times New Roman"/>
          <w:b/>
          <w:bCs/>
          <w:sz w:val="24"/>
          <w:szCs w:val="24"/>
        </w:rPr>
        <w:t xml:space="preserve">. </w:t>
      </w:r>
      <w:r w:rsidR="001B651C" w:rsidRPr="00B84387">
        <w:rPr>
          <w:rFonts w:ascii="Times New Roman" w:hAnsi="Times New Roman" w:cs="Times New Roman"/>
          <w:sz w:val="24"/>
          <w:szCs w:val="24"/>
        </w:rPr>
        <w:t xml:space="preserve">The figure shows </w:t>
      </w:r>
      <w:r w:rsidR="00112F1D" w:rsidRPr="00B84387">
        <w:rPr>
          <w:rFonts w:ascii="Times New Roman" w:hAnsi="Times New Roman" w:cs="Times New Roman"/>
          <w:sz w:val="24"/>
          <w:szCs w:val="24"/>
        </w:rPr>
        <w:t xml:space="preserve">sample-weighted </w:t>
      </w:r>
      <w:r w:rsidR="001B651C" w:rsidRPr="00B84387">
        <w:rPr>
          <w:rFonts w:ascii="Times New Roman" w:hAnsi="Times New Roman" w:cs="Times New Roman"/>
          <w:sz w:val="24"/>
          <w:szCs w:val="24"/>
        </w:rPr>
        <w:t>mean biological</w:t>
      </w:r>
      <w:r w:rsidR="00112F1D" w:rsidRPr="00B84387">
        <w:rPr>
          <w:rFonts w:ascii="Times New Roman" w:hAnsi="Times New Roman" w:cs="Times New Roman"/>
          <w:sz w:val="24"/>
          <w:szCs w:val="24"/>
        </w:rPr>
        <w:t>-</w:t>
      </w:r>
      <w:r w:rsidR="001B651C" w:rsidRPr="00B84387">
        <w:rPr>
          <w:rFonts w:ascii="Times New Roman" w:hAnsi="Times New Roman" w:cs="Times New Roman"/>
          <w:sz w:val="24"/>
          <w:szCs w:val="24"/>
        </w:rPr>
        <w:t>age advancement</w:t>
      </w:r>
      <w:r w:rsidR="00112F1D" w:rsidRPr="00B84387">
        <w:rPr>
          <w:rFonts w:ascii="Times New Roman" w:hAnsi="Times New Roman" w:cs="Times New Roman"/>
          <w:sz w:val="24"/>
          <w:szCs w:val="24"/>
        </w:rPr>
        <w:t>s</w:t>
      </w:r>
      <w:r w:rsidR="001B651C" w:rsidRPr="00B84387">
        <w:rPr>
          <w:rFonts w:ascii="Times New Roman" w:hAnsi="Times New Roman" w:cs="Times New Roman"/>
          <w:sz w:val="24"/>
          <w:szCs w:val="24"/>
        </w:rPr>
        <w:t xml:space="preserve"> at 4-year intervals of age and measurement wave. </w:t>
      </w:r>
      <w:r w:rsidR="00843194" w:rsidRPr="00B84387">
        <w:rPr>
          <w:rFonts w:ascii="Times New Roman" w:hAnsi="Times New Roman" w:cs="Times New Roman"/>
          <w:sz w:val="24"/>
          <w:szCs w:val="24"/>
        </w:rPr>
        <w:t xml:space="preserve">Potential </w:t>
      </w:r>
      <w:r w:rsidR="00112F1D" w:rsidRPr="00B84387">
        <w:rPr>
          <w:rFonts w:ascii="Times New Roman" w:hAnsi="Times New Roman" w:cs="Times New Roman"/>
          <w:sz w:val="24"/>
          <w:szCs w:val="24"/>
        </w:rPr>
        <w:t>cohort effects are revealed as non-linearities across waves of measurement. Here, more recent birth cohorts appear to have more advanced biological ages relative to earlier birth cohorts at the same chronological age (</w:t>
      </w:r>
      <w:r w:rsidR="00335612" w:rsidRPr="00B84387">
        <w:rPr>
          <w:rFonts w:ascii="Times New Roman" w:hAnsi="Times New Roman" w:cs="Times New Roman"/>
          <w:sz w:val="24"/>
          <w:szCs w:val="24"/>
        </w:rPr>
        <w:t>e.g.,</w:t>
      </w:r>
      <w:r w:rsidR="00112F1D" w:rsidRPr="00B84387">
        <w:rPr>
          <w:rFonts w:ascii="Times New Roman" w:hAnsi="Times New Roman" w:cs="Times New Roman"/>
          <w:sz w:val="24"/>
          <w:szCs w:val="24"/>
        </w:rPr>
        <w:t xml:space="preserve"> the average 35-year-old in 2015 had more advanced biological age than the average 35-year-old in 1999).</w:t>
      </w:r>
    </w:p>
    <w:p w14:paraId="19027BAA" w14:textId="77777777" w:rsidR="00D501CC" w:rsidRPr="00B84387" w:rsidRDefault="00D501CC" w:rsidP="00FB70D2">
      <w:pPr>
        <w:spacing w:after="0" w:line="480" w:lineRule="auto"/>
        <w:contextualSpacing/>
        <w:rPr>
          <w:rFonts w:ascii="Times New Roman" w:hAnsi="Times New Roman" w:cs="Times New Roman"/>
          <w:sz w:val="24"/>
          <w:szCs w:val="24"/>
        </w:rPr>
      </w:pPr>
    </w:p>
    <w:p w14:paraId="45A0F227" w14:textId="708C1942" w:rsidR="00D501CC" w:rsidRPr="00B84387" w:rsidRDefault="000C0020" w:rsidP="00FB70D2">
      <w:pPr>
        <w:spacing w:after="0" w:line="480" w:lineRule="auto"/>
        <w:contextualSpacing/>
        <w:jc w:val="center"/>
        <w:rPr>
          <w:rFonts w:ascii="Times New Roman" w:hAnsi="Times New Roman" w:cs="Times New Roman"/>
          <w:sz w:val="24"/>
          <w:szCs w:val="24"/>
        </w:rPr>
      </w:pPr>
      <w:r w:rsidRPr="00B84387">
        <w:rPr>
          <w:rFonts w:ascii="Times New Roman" w:hAnsi="Times New Roman" w:cs="Times New Roman"/>
          <w:noProof/>
          <w:sz w:val="24"/>
          <w:szCs w:val="24"/>
        </w:rPr>
        <w:lastRenderedPageBreak/>
        <w:drawing>
          <wp:inline distT="0" distB="0" distL="0" distR="0" wp14:anchorId="4C7C09F6" wp14:editId="67016FAB">
            <wp:extent cx="5615707" cy="2807854"/>
            <wp:effectExtent l="0" t="0" r="4445" b="0"/>
            <wp:docPr id="11726432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4780" cy="2822391"/>
                    </a:xfrm>
                    <a:prstGeom prst="rect">
                      <a:avLst/>
                    </a:prstGeom>
                    <a:noFill/>
                  </pic:spPr>
                </pic:pic>
              </a:graphicData>
            </a:graphic>
          </wp:inline>
        </w:drawing>
      </w:r>
    </w:p>
    <w:p w14:paraId="2F3DFBD0" w14:textId="77777777" w:rsidR="00A128E9" w:rsidRPr="00B84387" w:rsidRDefault="00A128E9" w:rsidP="00FB70D2">
      <w:pPr>
        <w:spacing w:after="0" w:line="480" w:lineRule="auto"/>
        <w:contextualSpacing/>
        <w:jc w:val="both"/>
        <w:rPr>
          <w:rFonts w:ascii="Times New Roman" w:hAnsi="Times New Roman" w:cs="Times New Roman"/>
          <w:b/>
          <w:bCs/>
          <w:sz w:val="24"/>
          <w:szCs w:val="24"/>
        </w:rPr>
        <w:sectPr w:rsidR="00A128E9" w:rsidRPr="00B84387" w:rsidSect="00B55154">
          <w:pgSz w:w="12240" w:h="15840"/>
          <w:pgMar w:top="720" w:right="720" w:bottom="720" w:left="720" w:header="720" w:footer="720" w:gutter="0"/>
          <w:cols w:space="720"/>
          <w:docGrid w:linePitch="360"/>
        </w:sectPr>
      </w:pPr>
    </w:p>
    <w:p w14:paraId="49E0B49D" w14:textId="77777777" w:rsidR="00E677F6" w:rsidRPr="00B84387" w:rsidRDefault="00E677F6" w:rsidP="00FB70D2">
      <w:pPr>
        <w:spacing w:after="0" w:line="480" w:lineRule="auto"/>
        <w:contextualSpacing/>
        <w:jc w:val="both"/>
        <w:rPr>
          <w:rFonts w:ascii="Times New Roman" w:hAnsi="Times New Roman" w:cs="Times New Roman"/>
          <w:b/>
          <w:bCs/>
          <w:sz w:val="24"/>
          <w:szCs w:val="24"/>
        </w:rPr>
      </w:pPr>
    </w:p>
    <w:p w14:paraId="6FD4A342" w14:textId="77777777" w:rsidR="004A7501" w:rsidRPr="00B84387" w:rsidRDefault="000E4A39" w:rsidP="00FB70D2">
      <w:pPr>
        <w:spacing w:after="0" w:line="480" w:lineRule="auto"/>
        <w:contextualSpacing/>
        <w:jc w:val="both"/>
        <w:rPr>
          <w:rFonts w:ascii="Times New Roman" w:hAnsi="Times New Roman" w:cs="Times New Roman"/>
          <w:sz w:val="24"/>
          <w:szCs w:val="24"/>
        </w:rPr>
      </w:pPr>
      <w:r w:rsidRPr="00B84387">
        <w:rPr>
          <w:rFonts w:ascii="Times New Roman" w:hAnsi="Times New Roman" w:cs="Times New Roman"/>
          <w:b/>
          <w:bCs/>
          <w:sz w:val="24"/>
          <w:szCs w:val="24"/>
        </w:rPr>
        <w:t xml:space="preserve">Figure </w:t>
      </w:r>
      <w:r w:rsidR="00A128E9" w:rsidRPr="00B84387">
        <w:rPr>
          <w:rFonts w:ascii="Times New Roman" w:hAnsi="Times New Roman" w:cs="Times New Roman"/>
          <w:b/>
          <w:bCs/>
          <w:sz w:val="24"/>
          <w:szCs w:val="24"/>
        </w:rPr>
        <w:t>3</w:t>
      </w:r>
      <w:r w:rsidRPr="00B84387">
        <w:rPr>
          <w:rFonts w:ascii="Times New Roman" w:hAnsi="Times New Roman" w:cs="Times New Roman"/>
          <w:b/>
          <w:bCs/>
          <w:sz w:val="24"/>
          <w:szCs w:val="24"/>
        </w:rPr>
        <w:t>. Age, period, and cohort effects as estimated using three-factor Bayesian Hierarchical Age-Period-Cohort (BHAPC) models</w:t>
      </w:r>
      <w:r w:rsidR="007856B6" w:rsidRPr="00B84387">
        <w:rPr>
          <w:rFonts w:ascii="Times New Roman" w:hAnsi="Times New Roman" w:cs="Times New Roman"/>
          <w:b/>
          <w:bCs/>
          <w:sz w:val="24"/>
          <w:szCs w:val="24"/>
        </w:rPr>
        <w:t xml:space="preserve"> (PhenoAge)</w:t>
      </w:r>
      <w:r w:rsidRPr="00B84387">
        <w:rPr>
          <w:rFonts w:ascii="Times New Roman" w:hAnsi="Times New Roman" w:cs="Times New Roman"/>
          <w:b/>
          <w:bCs/>
          <w:sz w:val="24"/>
          <w:szCs w:val="24"/>
        </w:rPr>
        <w:t>.</w:t>
      </w:r>
      <w:r w:rsidRPr="00B84387">
        <w:rPr>
          <w:rFonts w:ascii="Times New Roman" w:hAnsi="Times New Roman" w:cs="Times New Roman"/>
          <w:sz w:val="24"/>
          <w:szCs w:val="24"/>
        </w:rPr>
        <w:t xml:space="preserve"> </w:t>
      </w:r>
      <w:r w:rsidR="00A00C00" w:rsidRPr="00B84387">
        <w:rPr>
          <w:rFonts w:ascii="Times New Roman" w:hAnsi="Times New Roman" w:cs="Times New Roman"/>
          <w:sz w:val="24"/>
          <w:szCs w:val="24"/>
        </w:rPr>
        <w:t xml:space="preserve">The figure shows the independent effects of age, period, and cohort as estimated using fully specified Bayesian Hierarchical Age-Period-Cohort (BHAPC) models, </w:t>
      </w:r>
      <w:r w:rsidR="00EE4E35" w:rsidRPr="00B84387">
        <w:rPr>
          <w:rFonts w:ascii="Times New Roman" w:hAnsi="Times New Roman" w:cs="Times New Roman"/>
          <w:sz w:val="24"/>
          <w:szCs w:val="24"/>
        </w:rPr>
        <w:t>both in the full sample and separately by race-sex strata. We treated age as a level-1 fixed effect and period and cohort as level-2 random effects; survey weights were log-transformed and included as a level-1 covariate while sampling strata and clusters were included as random effects. Effect-sizes are denominated in standard-deviation (SD) units of biological-age advancement, and are interpretable as the estimated effects of age, period, and cohort on biological aging.</w:t>
      </w:r>
    </w:p>
    <w:p w14:paraId="3CFDE2B0" w14:textId="77777777" w:rsidR="004A7501" w:rsidRPr="00B84387" w:rsidRDefault="004A7501" w:rsidP="00FB70D2">
      <w:pPr>
        <w:spacing w:after="0" w:line="480" w:lineRule="auto"/>
        <w:contextualSpacing/>
        <w:jc w:val="both"/>
        <w:rPr>
          <w:rFonts w:ascii="Times New Roman" w:hAnsi="Times New Roman" w:cs="Times New Roman"/>
          <w:sz w:val="24"/>
          <w:szCs w:val="24"/>
        </w:rPr>
      </w:pPr>
    </w:p>
    <w:p w14:paraId="4E7110DD" w14:textId="263AC972" w:rsidR="00EE4E35" w:rsidRPr="00B84387" w:rsidRDefault="004A7501" w:rsidP="00FB70D2">
      <w:pPr>
        <w:spacing w:after="0" w:line="480" w:lineRule="auto"/>
        <w:contextualSpacing/>
        <w:jc w:val="center"/>
        <w:rPr>
          <w:rFonts w:ascii="Times New Roman" w:hAnsi="Times New Roman" w:cs="Times New Roman"/>
          <w:sz w:val="24"/>
          <w:szCs w:val="24"/>
        </w:rPr>
      </w:pPr>
      <w:r w:rsidRPr="00B84387">
        <w:rPr>
          <w:rFonts w:ascii="Times New Roman" w:hAnsi="Times New Roman" w:cs="Times New Roman"/>
          <w:noProof/>
          <w:sz w:val="24"/>
          <w:szCs w:val="24"/>
        </w:rPr>
        <w:drawing>
          <wp:inline distT="0" distB="0" distL="0" distR="0" wp14:anchorId="52DF1475" wp14:editId="174AA8CF">
            <wp:extent cx="5715000" cy="3488262"/>
            <wp:effectExtent l="0" t="0" r="0" b="0"/>
            <wp:docPr id="85924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488262"/>
                    </a:xfrm>
                    <a:prstGeom prst="rect">
                      <a:avLst/>
                    </a:prstGeom>
                    <a:noFill/>
                  </pic:spPr>
                </pic:pic>
              </a:graphicData>
            </a:graphic>
          </wp:inline>
        </w:drawing>
      </w:r>
    </w:p>
    <w:p w14:paraId="1B893A98" w14:textId="77777777" w:rsidR="00B23D14" w:rsidRPr="00B84387" w:rsidRDefault="00B23D14" w:rsidP="00FB70D2">
      <w:pPr>
        <w:spacing w:after="0" w:line="480" w:lineRule="auto"/>
        <w:contextualSpacing/>
        <w:rPr>
          <w:rFonts w:ascii="Times New Roman" w:hAnsi="Times New Roman" w:cs="Times New Roman"/>
          <w:b/>
          <w:bCs/>
          <w:sz w:val="24"/>
          <w:szCs w:val="24"/>
        </w:rPr>
      </w:pPr>
    </w:p>
    <w:bookmarkEnd w:id="7"/>
    <w:p w14:paraId="0E784840" w14:textId="25E3CDC4" w:rsidR="00E677F6" w:rsidRPr="00B84387" w:rsidRDefault="00E677F6" w:rsidP="00FB70D2">
      <w:pPr>
        <w:spacing w:line="480" w:lineRule="auto"/>
        <w:contextualSpacing/>
        <w:rPr>
          <w:rFonts w:ascii="Times New Roman" w:hAnsi="Times New Roman" w:cs="Times New Roman"/>
          <w:b/>
          <w:bCs/>
          <w:sz w:val="24"/>
          <w:szCs w:val="24"/>
        </w:rPr>
      </w:pPr>
    </w:p>
    <w:sectPr w:rsidR="00E677F6" w:rsidRPr="00B84387" w:rsidSect="00B5515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75CA1" w14:textId="77777777" w:rsidR="00B55154" w:rsidRDefault="00B55154" w:rsidP="00FD6781">
      <w:pPr>
        <w:spacing w:after="0" w:line="240" w:lineRule="auto"/>
      </w:pPr>
      <w:r>
        <w:separator/>
      </w:r>
    </w:p>
  </w:endnote>
  <w:endnote w:type="continuationSeparator" w:id="0">
    <w:p w14:paraId="431582C6" w14:textId="77777777" w:rsidR="00B55154" w:rsidRDefault="00B55154" w:rsidP="00FD6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821170"/>
      <w:docPartObj>
        <w:docPartGallery w:val="Page Numbers (Bottom of Page)"/>
        <w:docPartUnique/>
      </w:docPartObj>
    </w:sdtPr>
    <w:sdtEndPr>
      <w:rPr>
        <w:noProof/>
      </w:rPr>
    </w:sdtEndPr>
    <w:sdtContent>
      <w:p w14:paraId="79433EFF" w14:textId="3D9841B3" w:rsidR="003E53FE" w:rsidRDefault="003E53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50F9B4" w14:textId="77777777" w:rsidR="00FD6781" w:rsidRDefault="00FD6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C592C" w14:textId="77777777" w:rsidR="00B55154" w:rsidRDefault="00B55154" w:rsidP="00FD6781">
      <w:pPr>
        <w:spacing w:after="0" w:line="240" w:lineRule="auto"/>
      </w:pPr>
      <w:r>
        <w:separator/>
      </w:r>
    </w:p>
  </w:footnote>
  <w:footnote w:type="continuationSeparator" w:id="0">
    <w:p w14:paraId="07BE2FB7" w14:textId="77777777" w:rsidR="00B55154" w:rsidRDefault="00B55154" w:rsidP="00FD6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45911" w14:textId="66D0A9A6" w:rsidR="00FD6781" w:rsidRDefault="00FD6781">
    <w:pPr>
      <w:pStyle w:val="Header"/>
    </w:pPr>
    <w:r>
      <w:t>GRAF – APC TRENDS IN BIOLOGICAL AGING 1999-2018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88B"/>
    <w:multiLevelType w:val="hybridMultilevel"/>
    <w:tmpl w:val="6A60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7330F"/>
    <w:multiLevelType w:val="hybridMultilevel"/>
    <w:tmpl w:val="00DE7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00FE5"/>
    <w:multiLevelType w:val="hybridMultilevel"/>
    <w:tmpl w:val="E5F0B8D2"/>
    <w:lvl w:ilvl="0" w:tplc="06E2600A">
      <w:start w:val="1"/>
      <w:numFmt w:val="bullet"/>
      <w:lvlText w:val="•"/>
      <w:lvlJc w:val="left"/>
      <w:pPr>
        <w:tabs>
          <w:tab w:val="num" w:pos="720"/>
        </w:tabs>
        <w:ind w:left="720" w:hanging="360"/>
      </w:pPr>
      <w:rPr>
        <w:rFonts w:ascii="Arial" w:hAnsi="Arial" w:hint="default"/>
      </w:rPr>
    </w:lvl>
    <w:lvl w:ilvl="1" w:tplc="BBD67490">
      <w:start w:val="1"/>
      <w:numFmt w:val="bullet"/>
      <w:lvlText w:val="•"/>
      <w:lvlJc w:val="left"/>
      <w:pPr>
        <w:tabs>
          <w:tab w:val="num" w:pos="1440"/>
        </w:tabs>
        <w:ind w:left="1440" w:hanging="360"/>
      </w:pPr>
      <w:rPr>
        <w:rFonts w:ascii="Arial" w:hAnsi="Arial" w:hint="default"/>
      </w:rPr>
    </w:lvl>
    <w:lvl w:ilvl="2" w:tplc="51C8B9A2" w:tentative="1">
      <w:start w:val="1"/>
      <w:numFmt w:val="bullet"/>
      <w:lvlText w:val="•"/>
      <w:lvlJc w:val="left"/>
      <w:pPr>
        <w:tabs>
          <w:tab w:val="num" w:pos="2160"/>
        </w:tabs>
        <w:ind w:left="2160" w:hanging="360"/>
      </w:pPr>
      <w:rPr>
        <w:rFonts w:ascii="Arial" w:hAnsi="Arial" w:hint="default"/>
      </w:rPr>
    </w:lvl>
    <w:lvl w:ilvl="3" w:tplc="258269D8" w:tentative="1">
      <w:start w:val="1"/>
      <w:numFmt w:val="bullet"/>
      <w:lvlText w:val="•"/>
      <w:lvlJc w:val="left"/>
      <w:pPr>
        <w:tabs>
          <w:tab w:val="num" w:pos="2880"/>
        </w:tabs>
        <w:ind w:left="2880" w:hanging="360"/>
      </w:pPr>
      <w:rPr>
        <w:rFonts w:ascii="Arial" w:hAnsi="Arial" w:hint="default"/>
      </w:rPr>
    </w:lvl>
    <w:lvl w:ilvl="4" w:tplc="0AAE3084" w:tentative="1">
      <w:start w:val="1"/>
      <w:numFmt w:val="bullet"/>
      <w:lvlText w:val="•"/>
      <w:lvlJc w:val="left"/>
      <w:pPr>
        <w:tabs>
          <w:tab w:val="num" w:pos="3600"/>
        </w:tabs>
        <w:ind w:left="3600" w:hanging="360"/>
      </w:pPr>
      <w:rPr>
        <w:rFonts w:ascii="Arial" w:hAnsi="Arial" w:hint="default"/>
      </w:rPr>
    </w:lvl>
    <w:lvl w:ilvl="5" w:tplc="A954813C" w:tentative="1">
      <w:start w:val="1"/>
      <w:numFmt w:val="bullet"/>
      <w:lvlText w:val="•"/>
      <w:lvlJc w:val="left"/>
      <w:pPr>
        <w:tabs>
          <w:tab w:val="num" w:pos="4320"/>
        </w:tabs>
        <w:ind w:left="4320" w:hanging="360"/>
      </w:pPr>
      <w:rPr>
        <w:rFonts w:ascii="Arial" w:hAnsi="Arial" w:hint="default"/>
      </w:rPr>
    </w:lvl>
    <w:lvl w:ilvl="6" w:tplc="7FC6482E" w:tentative="1">
      <w:start w:val="1"/>
      <w:numFmt w:val="bullet"/>
      <w:lvlText w:val="•"/>
      <w:lvlJc w:val="left"/>
      <w:pPr>
        <w:tabs>
          <w:tab w:val="num" w:pos="5040"/>
        </w:tabs>
        <w:ind w:left="5040" w:hanging="360"/>
      </w:pPr>
      <w:rPr>
        <w:rFonts w:ascii="Arial" w:hAnsi="Arial" w:hint="default"/>
      </w:rPr>
    </w:lvl>
    <w:lvl w:ilvl="7" w:tplc="A4C00AF8" w:tentative="1">
      <w:start w:val="1"/>
      <w:numFmt w:val="bullet"/>
      <w:lvlText w:val="•"/>
      <w:lvlJc w:val="left"/>
      <w:pPr>
        <w:tabs>
          <w:tab w:val="num" w:pos="5760"/>
        </w:tabs>
        <w:ind w:left="5760" w:hanging="360"/>
      </w:pPr>
      <w:rPr>
        <w:rFonts w:ascii="Arial" w:hAnsi="Arial" w:hint="default"/>
      </w:rPr>
    </w:lvl>
    <w:lvl w:ilvl="8" w:tplc="502299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041634"/>
    <w:multiLevelType w:val="hybridMultilevel"/>
    <w:tmpl w:val="0C2C569C"/>
    <w:lvl w:ilvl="0" w:tplc="2FC607B6">
      <w:start w:val="1"/>
      <w:numFmt w:val="bullet"/>
      <w:lvlText w:val="•"/>
      <w:lvlJc w:val="left"/>
      <w:pPr>
        <w:tabs>
          <w:tab w:val="num" w:pos="720"/>
        </w:tabs>
        <w:ind w:left="720" w:hanging="360"/>
      </w:pPr>
      <w:rPr>
        <w:rFonts w:ascii="Arial" w:hAnsi="Arial" w:hint="default"/>
      </w:rPr>
    </w:lvl>
    <w:lvl w:ilvl="1" w:tplc="0AFE126C">
      <w:start w:val="1"/>
      <w:numFmt w:val="bullet"/>
      <w:lvlText w:val="•"/>
      <w:lvlJc w:val="left"/>
      <w:pPr>
        <w:tabs>
          <w:tab w:val="num" w:pos="1440"/>
        </w:tabs>
        <w:ind w:left="1440" w:hanging="360"/>
      </w:pPr>
      <w:rPr>
        <w:rFonts w:ascii="Arial" w:hAnsi="Arial" w:hint="default"/>
      </w:rPr>
    </w:lvl>
    <w:lvl w:ilvl="2" w:tplc="3CE8215E" w:tentative="1">
      <w:start w:val="1"/>
      <w:numFmt w:val="bullet"/>
      <w:lvlText w:val="•"/>
      <w:lvlJc w:val="left"/>
      <w:pPr>
        <w:tabs>
          <w:tab w:val="num" w:pos="2160"/>
        </w:tabs>
        <w:ind w:left="2160" w:hanging="360"/>
      </w:pPr>
      <w:rPr>
        <w:rFonts w:ascii="Arial" w:hAnsi="Arial" w:hint="default"/>
      </w:rPr>
    </w:lvl>
    <w:lvl w:ilvl="3" w:tplc="8EF28170" w:tentative="1">
      <w:start w:val="1"/>
      <w:numFmt w:val="bullet"/>
      <w:lvlText w:val="•"/>
      <w:lvlJc w:val="left"/>
      <w:pPr>
        <w:tabs>
          <w:tab w:val="num" w:pos="2880"/>
        </w:tabs>
        <w:ind w:left="2880" w:hanging="360"/>
      </w:pPr>
      <w:rPr>
        <w:rFonts w:ascii="Arial" w:hAnsi="Arial" w:hint="default"/>
      </w:rPr>
    </w:lvl>
    <w:lvl w:ilvl="4" w:tplc="2536120C" w:tentative="1">
      <w:start w:val="1"/>
      <w:numFmt w:val="bullet"/>
      <w:lvlText w:val="•"/>
      <w:lvlJc w:val="left"/>
      <w:pPr>
        <w:tabs>
          <w:tab w:val="num" w:pos="3600"/>
        </w:tabs>
        <w:ind w:left="3600" w:hanging="360"/>
      </w:pPr>
      <w:rPr>
        <w:rFonts w:ascii="Arial" w:hAnsi="Arial" w:hint="default"/>
      </w:rPr>
    </w:lvl>
    <w:lvl w:ilvl="5" w:tplc="92EE2DC8" w:tentative="1">
      <w:start w:val="1"/>
      <w:numFmt w:val="bullet"/>
      <w:lvlText w:val="•"/>
      <w:lvlJc w:val="left"/>
      <w:pPr>
        <w:tabs>
          <w:tab w:val="num" w:pos="4320"/>
        </w:tabs>
        <w:ind w:left="4320" w:hanging="360"/>
      </w:pPr>
      <w:rPr>
        <w:rFonts w:ascii="Arial" w:hAnsi="Arial" w:hint="default"/>
      </w:rPr>
    </w:lvl>
    <w:lvl w:ilvl="6" w:tplc="D2AC9A1E" w:tentative="1">
      <w:start w:val="1"/>
      <w:numFmt w:val="bullet"/>
      <w:lvlText w:val="•"/>
      <w:lvlJc w:val="left"/>
      <w:pPr>
        <w:tabs>
          <w:tab w:val="num" w:pos="5040"/>
        </w:tabs>
        <w:ind w:left="5040" w:hanging="360"/>
      </w:pPr>
      <w:rPr>
        <w:rFonts w:ascii="Arial" w:hAnsi="Arial" w:hint="default"/>
      </w:rPr>
    </w:lvl>
    <w:lvl w:ilvl="7" w:tplc="ED2AEC40" w:tentative="1">
      <w:start w:val="1"/>
      <w:numFmt w:val="bullet"/>
      <w:lvlText w:val="•"/>
      <w:lvlJc w:val="left"/>
      <w:pPr>
        <w:tabs>
          <w:tab w:val="num" w:pos="5760"/>
        </w:tabs>
        <w:ind w:left="5760" w:hanging="360"/>
      </w:pPr>
      <w:rPr>
        <w:rFonts w:ascii="Arial" w:hAnsi="Arial" w:hint="default"/>
      </w:rPr>
    </w:lvl>
    <w:lvl w:ilvl="8" w:tplc="DE40BB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35F599C"/>
    <w:multiLevelType w:val="hybridMultilevel"/>
    <w:tmpl w:val="F1DABD9A"/>
    <w:lvl w:ilvl="0" w:tplc="5D4C9DC4">
      <w:start w:val="1"/>
      <w:numFmt w:val="bullet"/>
      <w:lvlText w:val=""/>
      <w:lvlJc w:val="left"/>
      <w:pPr>
        <w:tabs>
          <w:tab w:val="num" w:pos="720"/>
        </w:tabs>
        <w:ind w:left="720" w:hanging="360"/>
      </w:pPr>
      <w:rPr>
        <w:rFonts w:ascii="Symbol" w:hAnsi="Symbol" w:hint="default"/>
      </w:rPr>
    </w:lvl>
    <w:lvl w:ilvl="1" w:tplc="D7B00922">
      <w:start w:val="1"/>
      <w:numFmt w:val="bullet"/>
      <w:lvlText w:val=""/>
      <w:lvlJc w:val="left"/>
      <w:pPr>
        <w:tabs>
          <w:tab w:val="num" w:pos="1440"/>
        </w:tabs>
        <w:ind w:left="1440" w:hanging="360"/>
      </w:pPr>
      <w:rPr>
        <w:rFonts w:ascii="Symbol" w:hAnsi="Symbol" w:hint="default"/>
      </w:rPr>
    </w:lvl>
    <w:lvl w:ilvl="2" w:tplc="DBFCD7E4" w:tentative="1">
      <w:start w:val="1"/>
      <w:numFmt w:val="bullet"/>
      <w:lvlText w:val=""/>
      <w:lvlJc w:val="left"/>
      <w:pPr>
        <w:tabs>
          <w:tab w:val="num" w:pos="2160"/>
        </w:tabs>
        <w:ind w:left="2160" w:hanging="360"/>
      </w:pPr>
      <w:rPr>
        <w:rFonts w:ascii="Symbol" w:hAnsi="Symbol" w:hint="default"/>
      </w:rPr>
    </w:lvl>
    <w:lvl w:ilvl="3" w:tplc="D7321572" w:tentative="1">
      <w:start w:val="1"/>
      <w:numFmt w:val="bullet"/>
      <w:lvlText w:val=""/>
      <w:lvlJc w:val="left"/>
      <w:pPr>
        <w:tabs>
          <w:tab w:val="num" w:pos="2880"/>
        </w:tabs>
        <w:ind w:left="2880" w:hanging="360"/>
      </w:pPr>
      <w:rPr>
        <w:rFonts w:ascii="Symbol" w:hAnsi="Symbol" w:hint="default"/>
      </w:rPr>
    </w:lvl>
    <w:lvl w:ilvl="4" w:tplc="35F0AF26" w:tentative="1">
      <w:start w:val="1"/>
      <w:numFmt w:val="bullet"/>
      <w:lvlText w:val=""/>
      <w:lvlJc w:val="left"/>
      <w:pPr>
        <w:tabs>
          <w:tab w:val="num" w:pos="3600"/>
        </w:tabs>
        <w:ind w:left="3600" w:hanging="360"/>
      </w:pPr>
      <w:rPr>
        <w:rFonts w:ascii="Symbol" w:hAnsi="Symbol" w:hint="default"/>
      </w:rPr>
    </w:lvl>
    <w:lvl w:ilvl="5" w:tplc="DAC8A356" w:tentative="1">
      <w:start w:val="1"/>
      <w:numFmt w:val="bullet"/>
      <w:lvlText w:val=""/>
      <w:lvlJc w:val="left"/>
      <w:pPr>
        <w:tabs>
          <w:tab w:val="num" w:pos="4320"/>
        </w:tabs>
        <w:ind w:left="4320" w:hanging="360"/>
      </w:pPr>
      <w:rPr>
        <w:rFonts w:ascii="Symbol" w:hAnsi="Symbol" w:hint="default"/>
      </w:rPr>
    </w:lvl>
    <w:lvl w:ilvl="6" w:tplc="BF9EBD9A" w:tentative="1">
      <w:start w:val="1"/>
      <w:numFmt w:val="bullet"/>
      <w:lvlText w:val=""/>
      <w:lvlJc w:val="left"/>
      <w:pPr>
        <w:tabs>
          <w:tab w:val="num" w:pos="5040"/>
        </w:tabs>
        <w:ind w:left="5040" w:hanging="360"/>
      </w:pPr>
      <w:rPr>
        <w:rFonts w:ascii="Symbol" w:hAnsi="Symbol" w:hint="default"/>
      </w:rPr>
    </w:lvl>
    <w:lvl w:ilvl="7" w:tplc="4612A8D8" w:tentative="1">
      <w:start w:val="1"/>
      <w:numFmt w:val="bullet"/>
      <w:lvlText w:val=""/>
      <w:lvlJc w:val="left"/>
      <w:pPr>
        <w:tabs>
          <w:tab w:val="num" w:pos="5760"/>
        </w:tabs>
        <w:ind w:left="5760" w:hanging="360"/>
      </w:pPr>
      <w:rPr>
        <w:rFonts w:ascii="Symbol" w:hAnsi="Symbol" w:hint="default"/>
      </w:rPr>
    </w:lvl>
    <w:lvl w:ilvl="8" w:tplc="DEA60F28" w:tentative="1">
      <w:start w:val="1"/>
      <w:numFmt w:val="bullet"/>
      <w:lvlText w:val=""/>
      <w:lvlJc w:val="left"/>
      <w:pPr>
        <w:tabs>
          <w:tab w:val="num" w:pos="6480"/>
        </w:tabs>
        <w:ind w:left="6480" w:hanging="360"/>
      </w:pPr>
      <w:rPr>
        <w:rFonts w:ascii="Symbol" w:hAnsi="Symbol" w:hint="default"/>
      </w:rPr>
    </w:lvl>
  </w:abstractNum>
  <w:num w:numId="1" w16cid:durableId="387262716">
    <w:abstractNumId w:val="0"/>
  </w:num>
  <w:num w:numId="2" w16cid:durableId="473841338">
    <w:abstractNumId w:val="4"/>
  </w:num>
  <w:num w:numId="3" w16cid:durableId="386224896">
    <w:abstractNumId w:val="3"/>
  </w:num>
  <w:num w:numId="4" w16cid:durableId="1137524931">
    <w:abstractNumId w:val="2"/>
  </w:num>
  <w:num w:numId="5" w16cid:durableId="1368604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EB"/>
    <w:rsid w:val="00000CC5"/>
    <w:rsid w:val="0000479C"/>
    <w:rsid w:val="00006902"/>
    <w:rsid w:val="00006F0A"/>
    <w:rsid w:val="0000714C"/>
    <w:rsid w:val="0001450F"/>
    <w:rsid w:val="00015354"/>
    <w:rsid w:val="00015D7D"/>
    <w:rsid w:val="00025CB9"/>
    <w:rsid w:val="000269CC"/>
    <w:rsid w:val="00026AA5"/>
    <w:rsid w:val="000337E8"/>
    <w:rsid w:val="00046821"/>
    <w:rsid w:val="0004796C"/>
    <w:rsid w:val="000531A3"/>
    <w:rsid w:val="000547BF"/>
    <w:rsid w:val="00054F0E"/>
    <w:rsid w:val="000575E2"/>
    <w:rsid w:val="000618BE"/>
    <w:rsid w:val="000643E9"/>
    <w:rsid w:val="000658E1"/>
    <w:rsid w:val="00065D09"/>
    <w:rsid w:val="00072E49"/>
    <w:rsid w:val="00072FAB"/>
    <w:rsid w:val="00073D18"/>
    <w:rsid w:val="00074250"/>
    <w:rsid w:val="000742A9"/>
    <w:rsid w:val="0008253D"/>
    <w:rsid w:val="0008321D"/>
    <w:rsid w:val="0008792F"/>
    <w:rsid w:val="00087E21"/>
    <w:rsid w:val="00087E50"/>
    <w:rsid w:val="000900C2"/>
    <w:rsid w:val="000955AD"/>
    <w:rsid w:val="000A0EB3"/>
    <w:rsid w:val="000A174D"/>
    <w:rsid w:val="000A19E1"/>
    <w:rsid w:val="000A3646"/>
    <w:rsid w:val="000A3D15"/>
    <w:rsid w:val="000A5B89"/>
    <w:rsid w:val="000A7488"/>
    <w:rsid w:val="000B0DCE"/>
    <w:rsid w:val="000B1C97"/>
    <w:rsid w:val="000B3C75"/>
    <w:rsid w:val="000B431E"/>
    <w:rsid w:val="000B4E44"/>
    <w:rsid w:val="000B71C8"/>
    <w:rsid w:val="000C0020"/>
    <w:rsid w:val="000C37C8"/>
    <w:rsid w:val="000C67A7"/>
    <w:rsid w:val="000C77F4"/>
    <w:rsid w:val="000D1997"/>
    <w:rsid w:val="000D2095"/>
    <w:rsid w:val="000D262A"/>
    <w:rsid w:val="000D6965"/>
    <w:rsid w:val="000D76AA"/>
    <w:rsid w:val="000E07C6"/>
    <w:rsid w:val="000E4A39"/>
    <w:rsid w:val="000E5BB1"/>
    <w:rsid w:val="000F1CF0"/>
    <w:rsid w:val="000F4859"/>
    <w:rsid w:val="000F4E24"/>
    <w:rsid w:val="000F6A76"/>
    <w:rsid w:val="000F6BD2"/>
    <w:rsid w:val="00107875"/>
    <w:rsid w:val="00110301"/>
    <w:rsid w:val="00112F1D"/>
    <w:rsid w:val="0011523E"/>
    <w:rsid w:val="00117155"/>
    <w:rsid w:val="001175FB"/>
    <w:rsid w:val="00120149"/>
    <w:rsid w:val="00122462"/>
    <w:rsid w:val="00122463"/>
    <w:rsid w:val="00122DEE"/>
    <w:rsid w:val="001264AB"/>
    <w:rsid w:val="0012697E"/>
    <w:rsid w:val="00126BCE"/>
    <w:rsid w:val="0013052B"/>
    <w:rsid w:val="00131EC2"/>
    <w:rsid w:val="0013439E"/>
    <w:rsid w:val="00134EF3"/>
    <w:rsid w:val="00137856"/>
    <w:rsid w:val="00143B2B"/>
    <w:rsid w:val="0014685E"/>
    <w:rsid w:val="00146DBE"/>
    <w:rsid w:val="00146FA6"/>
    <w:rsid w:val="001470FD"/>
    <w:rsid w:val="00152EE5"/>
    <w:rsid w:val="001531AA"/>
    <w:rsid w:val="00153523"/>
    <w:rsid w:val="0015352E"/>
    <w:rsid w:val="00153B27"/>
    <w:rsid w:val="00154D07"/>
    <w:rsid w:val="00160C6F"/>
    <w:rsid w:val="001635C6"/>
    <w:rsid w:val="00165E63"/>
    <w:rsid w:val="00166CA7"/>
    <w:rsid w:val="00166D3C"/>
    <w:rsid w:val="00172732"/>
    <w:rsid w:val="00172FD5"/>
    <w:rsid w:val="00175DF4"/>
    <w:rsid w:val="00182DB0"/>
    <w:rsid w:val="00184F3A"/>
    <w:rsid w:val="00185181"/>
    <w:rsid w:val="00192352"/>
    <w:rsid w:val="001A2BF0"/>
    <w:rsid w:val="001A3009"/>
    <w:rsid w:val="001A4741"/>
    <w:rsid w:val="001A4DB0"/>
    <w:rsid w:val="001B36EC"/>
    <w:rsid w:val="001B651C"/>
    <w:rsid w:val="001B6B46"/>
    <w:rsid w:val="001C09DE"/>
    <w:rsid w:val="001C11B7"/>
    <w:rsid w:val="001C4262"/>
    <w:rsid w:val="001D5494"/>
    <w:rsid w:val="001E0396"/>
    <w:rsid w:val="001E135B"/>
    <w:rsid w:val="001E16AA"/>
    <w:rsid w:val="001E1B7A"/>
    <w:rsid w:val="001E25A0"/>
    <w:rsid w:val="001E5014"/>
    <w:rsid w:val="00203221"/>
    <w:rsid w:val="002052F1"/>
    <w:rsid w:val="0021039B"/>
    <w:rsid w:val="00210BCB"/>
    <w:rsid w:val="00213D7C"/>
    <w:rsid w:val="002144CF"/>
    <w:rsid w:val="00215407"/>
    <w:rsid w:val="00216E26"/>
    <w:rsid w:val="00217D92"/>
    <w:rsid w:val="00217F7E"/>
    <w:rsid w:val="002216A2"/>
    <w:rsid w:val="002223ED"/>
    <w:rsid w:val="00222782"/>
    <w:rsid w:val="00224288"/>
    <w:rsid w:val="00226F8C"/>
    <w:rsid w:val="00227014"/>
    <w:rsid w:val="00231765"/>
    <w:rsid w:val="002337C3"/>
    <w:rsid w:val="0023486D"/>
    <w:rsid w:val="002355ED"/>
    <w:rsid w:val="00237541"/>
    <w:rsid w:val="0024423B"/>
    <w:rsid w:val="00253C4E"/>
    <w:rsid w:val="00260EB8"/>
    <w:rsid w:val="00263B50"/>
    <w:rsid w:val="00267099"/>
    <w:rsid w:val="0026710F"/>
    <w:rsid w:val="002709F4"/>
    <w:rsid w:val="00272FF3"/>
    <w:rsid w:val="00274E02"/>
    <w:rsid w:val="00275201"/>
    <w:rsid w:val="002764DA"/>
    <w:rsid w:val="002810E6"/>
    <w:rsid w:val="00281686"/>
    <w:rsid w:val="00281F2C"/>
    <w:rsid w:val="00282022"/>
    <w:rsid w:val="002850DB"/>
    <w:rsid w:val="00290C0F"/>
    <w:rsid w:val="0029595E"/>
    <w:rsid w:val="002A0207"/>
    <w:rsid w:val="002A0861"/>
    <w:rsid w:val="002A2260"/>
    <w:rsid w:val="002A4EFC"/>
    <w:rsid w:val="002A4F49"/>
    <w:rsid w:val="002A78C4"/>
    <w:rsid w:val="002B1DA1"/>
    <w:rsid w:val="002C2264"/>
    <w:rsid w:val="002C33B8"/>
    <w:rsid w:val="002C60A2"/>
    <w:rsid w:val="002C75DE"/>
    <w:rsid w:val="002D30B0"/>
    <w:rsid w:val="002D6A0E"/>
    <w:rsid w:val="002F1D3B"/>
    <w:rsid w:val="002F4B72"/>
    <w:rsid w:val="002F57F4"/>
    <w:rsid w:val="00300602"/>
    <w:rsid w:val="0030571A"/>
    <w:rsid w:val="00306031"/>
    <w:rsid w:val="003147AB"/>
    <w:rsid w:val="0031611D"/>
    <w:rsid w:val="00317BAE"/>
    <w:rsid w:val="0032059B"/>
    <w:rsid w:val="00321EA5"/>
    <w:rsid w:val="00322E66"/>
    <w:rsid w:val="00323A28"/>
    <w:rsid w:val="00323A83"/>
    <w:rsid w:val="003251A1"/>
    <w:rsid w:val="00326272"/>
    <w:rsid w:val="0033034C"/>
    <w:rsid w:val="00332399"/>
    <w:rsid w:val="0033320B"/>
    <w:rsid w:val="00334E4E"/>
    <w:rsid w:val="00334E58"/>
    <w:rsid w:val="00335612"/>
    <w:rsid w:val="00335C5A"/>
    <w:rsid w:val="003431BB"/>
    <w:rsid w:val="00344D1E"/>
    <w:rsid w:val="00344FF4"/>
    <w:rsid w:val="0034554F"/>
    <w:rsid w:val="00350840"/>
    <w:rsid w:val="00353E0E"/>
    <w:rsid w:val="003551DB"/>
    <w:rsid w:val="00355984"/>
    <w:rsid w:val="00355E0C"/>
    <w:rsid w:val="003563EB"/>
    <w:rsid w:val="00357967"/>
    <w:rsid w:val="0036140D"/>
    <w:rsid w:val="00361870"/>
    <w:rsid w:val="00363EDE"/>
    <w:rsid w:val="003669E1"/>
    <w:rsid w:val="00366F3C"/>
    <w:rsid w:val="00370504"/>
    <w:rsid w:val="00371DA1"/>
    <w:rsid w:val="00372117"/>
    <w:rsid w:val="00380AF8"/>
    <w:rsid w:val="00382037"/>
    <w:rsid w:val="00394717"/>
    <w:rsid w:val="00394861"/>
    <w:rsid w:val="00394A15"/>
    <w:rsid w:val="003A2ED2"/>
    <w:rsid w:val="003A48ED"/>
    <w:rsid w:val="003A6BD3"/>
    <w:rsid w:val="003B18D5"/>
    <w:rsid w:val="003B4EBE"/>
    <w:rsid w:val="003B5173"/>
    <w:rsid w:val="003B779E"/>
    <w:rsid w:val="003C3D19"/>
    <w:rsid w:val="003C4C7A"/>
    <w:rsid w:val="003C5D16"/>
    <w:rsid w:val="003C618F"/>
    <w:rsid w:val="003C64B5"/>
    <w:rsid w:val="003D137D"/>
    <w:rsid w:val="003D5386"/>
    <w:rsid w:val="003D645A"/>
    <w:rsid w:val="003E17F5"/>
    <w:rsid w:val="003E1C39"/>
    <w:rsid w:val="003E53FE"/>
    <w:rsid w:val="003E7F27"/>
    <w:rsid w:val="003F16AA"/>
    <w:rsid w:val="003F1A37"/>
    <w:rsid w:val="003F2593"/>
    <w:rsid w:val="004034EF"/>
    <w:rsid w:val="00403E2F"/>
    <w:rsid w:val="0040794D"/>
    <w:rsid w:val="00411B8B"/>
    <w:rsid w:val="00415E5C"/>
    <w:rsid w:val="004169E5"/>
    <w:rsid w:val="00416D14"/>
    <w:rsid w:val="004200E8"/>
    <w:rsid w:val="0042024E"/>
    <w:rsid w:val="004217D9"/>
    <w:rsid w:val="00422078"/>
    <w:rsid w:val="00431146"/>
    <w:rsid w:val="00431B76"/>
    <w:rsid w:val="00432024"/>
    <w:rsid w:val="00435733"/>
    <w:rsid w:val="004400E7"/>
    <w:rsid w:val="00443E9E"/>
    <w:rsid w:val="00451D83"/>
    <w:rsid w:val="00452248"/>
    <w:rsid w:val="00464F16"/>
    <w:rsid w:val="00470DCD"/>
    <w:rsid w:val="00471C00"/>
    <w:rsid w:val="00472601"/>
    <w:rsid w:val="00480927"/>
    <w:rsid w:val="00481E35"/>
    <w:rsid w:val="004839EE"/>
    <w:rsid w:val="00484663"/>
    <w:rsid w:val="004876CF"/>
    <w:rsid w:val="00490E60"/>
    <w:rsid w:val="00492579"/>
    <w:rsid w:val="004957EB"/>
    <w:rsid w:val="00496065"/>
    <w:rsid w:val="004979E4"/>
    <w:rsid w:val="004A1CF2"/>
    <w:rsid w:val="004A333D"/>
    <w:rsid w:val="004A3AE9"/>
    <w:rsid w:val="004A4245"/>
    <w:rsid w:val="004A518A"/>
    <w:rsid w:val="004A68D8"/>
    <w:rsid w:val="004A7501"/>
    <w:rsid w:val="004B0044"/>
    <w:rsid w:val="004B21AB"/>
    <w:rsid w:val="004B2DEC"/>
    <w:rsid w:val="004B5618"/>
    <w:rsid w:val="004B6C13"/>
    <w:rsid w:val="004B7EEF"/>
    <w:rsid w:val="004C02C6"/>
    <w:rsid w:val="004C2F79"/>
    <w:rsid w:val="004C323A"/>
    <w:rsid w:val="004C616B"/>
    <w:rsid w:val="004C76BF"/>
    <w:rsid w:val="004D0C42"/>
    <w:rsid w:val="004D0FDD"/>
    <w:rsid w:val="004D1966"/>
    <w:rsid w:val="004D1D3B"/>
    <w:rsid w:val="004D3486"/>
    <w:rsid w:val="004D43EC"/>
    <w:rsid w:val="004D6401"/>
    <w:rsid w:val="004D67E8"/>
    <w:rsid w:val="004E0BFB"/>
    <w:rsid w:val="004E174B"/>
    <w:rsid w:val="004E2C3A"/>
    <w:rsid w:val="004E4DA4"/>
    <w:rsid w:val="004E4FF7"/>
    <w:rsid w:val="004E5382"/>
    <w:rsid w:val="004E6477"/>
    <w:rsid w:val="004F0434"/>
    <w:rsid w:val="004F0D7F"/>
    <w:rsid w:val="004F1C41"/>
    <w:rsid w:val="004F3EBF"/>
    <w:rsid w:val="005041D8"/>
    <w:rsid w:val="0050635A"/>
    <w:rsid w:val="005112EA"/>
    <w:rsid w:val="00514F81"/>
    <w:rsid w:val="005176EA"/>
    <w:rsid w:val="00520384"/>
    <w:rsid w:val="005263F7"/>
    <w:rsid w:val="00527693"/>
    <w:rsid w:val="005304B0"/>
    <w:rsid w:val="00530AD4"/>
    <w:rsid w:val="0053769D"/>
    <w:rsid w:val="005416F4"/>
    <w:rsid w:val="00543A4E"/>
    <w:rsid w:val="00546B78"/>
    <w:rsid w:val="005474DA"/>
    <w:rsid w:val="00553A31"/>
    <w:rsid w:val="00557909"/>
    <w:rsid w:val="00563DC4"/>
    <w:rsid w:val="00566E9C"/>
    <w:rsid w:val="00567ACE"/>
    <w:rsid w:val="00571FA3"/>
    <w:rsid w:val="00572D11"/>
    <w:rsid w:val="00581618"/>
    <w:rsid w:val="00582843"/>
    <w:rsid w:val="00585F16"/>
    <w:rsid w:val="0059130D"/>
    <w:rsid w:val="00593C70"/>
    <w:rsid w:val="00593D88"/>
    <w:rsid w:val="005975BF"/>
    <w:rsid w:val="00597A71"/>
    <w:rsid w:val="005A1528"/>
    <w:rsid w:val="005A43CB"/>
    <w:rsid w:val="005A4848"/>
    <w:rsid w:val="005A5DE8"/>
    <w:rsid w:val="005A64A2"/>
    <w:rsid w:val="005A775B"/>
    <w:rsid w:val="005B2A6F"/>
    <w:rsid w:val="005B45FF"/>
    <w:rsid w:val="005B5057"/>
    <w:rsid w:val="005B6CC3"/>
    <w:rsid w:val="005C4C41"/>
    <w:rsid w:val="005D2021"/>
    <w:rsid w:val="005D4E43"/>
    <w:rsid w:val="005E1E44"/>
    <w:rsid w:val="005E73C2"/>
    <w:rsid w:val="005F0F86"/>
    <w:rsid w:val="005F2242"/>
    <w:rsid w:val="00603ECD"/>
    <w:rsid w:val="006041F1"/>
    <w:rsid w:val="00613BB0"/>
    <w:rsid w:val="006163B9"/>
    <w:rsid w:val="006163DC"/>
    <w:rsid w:val="00616A04"/>
    <w:rsid w:val="00620361"/>
    <w:rsid w:val="00621A8D"/>
    <w:rsid w:val="00623F0C"/>
    <w:rsid w:val="00625015"/>
    <w:rsid w:val="00625604"/>
    <w:rsid w:val="00626EF6"/>
    <w:rsid w:val="00627FA2"/>
    <w:rsid w:val="00630DBF"/>
    <w:rsid w:val="00632167"/>
    <w:rsid w:val="00632610"/>
    <w:rsid w:val="006333EF"/>
    <w:rsid w:val="00634D2B"/>
    <w:rsid w:val="0063517B"/>
    <w:rsid w:val="00636884"/>
    <w:rsid w:val="00642C87"/>
    <w:rsid w:val="00644BAF"/>
    <w:rsid w:val="00644EAB"/>
    <w:rsid w:val="00650896"/>
    <w:rsid w:val="0065161B"/>
    <w:rsid w:val="006541B0"/>
    <w:rsid w:val="00657B10"/>
    <w:rsid w:val="00660911"/>
    <w:rsid w:val="0066363B"/>
    <w:rsid w:val="006651B5"/>
    <w:rsid w:val="0066663A"/>
    <w:rsid w:val="00671EB4"/>
    <w:rsid w:val="00672F40"/>
    <w:rsid w:val="00673E3F"/>
    <w:rsid w:val="00675DA0"/>
    <w:rsid w:val="00676D59"/>
    <w:rsid w:val="00676DE2"/>
    <w:rsid w:val="00676E7F"/>
    <w:rsid w:val="006775E6"/>
    <w:rsid w:val="00685044"/>
    <w:rsid w:val="00686B7A"/>
    <w:rsid w:val="0068729C"/>
    <w:rsid w:val="006874C4"/>
    <w:rsid w:val="0069469C"/>
    <w:rsid w:val="00695FAF"/>
    <w:rsid w:val="00696E1E"/>
    <w:rsid w:val="006A08FA"/>
    <w:rsid w:val="006A32DD"/>
    <w:rsid w:val="006A3930"/>
    <w:rsid w:val="006A6616"/>
    <w:rsid w:val="006A6FF5"/>
    <w:rsid w:val="006B0D6E"/>
    <w:rsid w:val="006B1283"/>
    <w:rsid w:val="006B2DA8"/>
    <w:rsid w:val="006C098C"/>
    <w:rsid w:val="006C0AFE"/>
    <w:rsid w:val="006C2F27"/>
    <w:rsid w:val="006C6CE7"/>
    <w:rsid w:val="006D14B5"/>
    <w:rsid w:val="006D4EC9"/>
    <w:rsid w:val="006D6E5D"/>
    <w:rsid w:val="006D7405"/>
    <w:rsid w:val="006E03B5"/>
    <w:rsid w:val="006E0F49"/>
    <w:rsid w:val="006E5298"/>
    <w:rsid w:val="006E5CE6"/>
    <w:rsid w:val="006E6104"/>
    <w:rsid w:val="006E6791"/>
    <w:rsid w:val="006E7E27"/>
    <w:rsid w:val="006E7F54"/>
    <w:rsid w:val="00704790"/>
    <w:rsid w:val="00712F1E"/>
    <w:rsid w:val="007138FE"/>
    <w:rsid w:val="00714CA3"/>
    <w:rsid w:val="007171E0"/>
    <w:rsid w:val="00723721"/>
    <w:rsid w:val="00732CEC"/>
    <w:rsid w:val="00735A19"/>
    <w:rsid w:val="00736A60"/>
    <w:rsid w:val="00737CF0"/>
    <w:rsid w:val="00742FFD"/>
    <w:rsid w:val="0074591D"/>
    <w:rsid w:val="00746156"/>
    <w:rsid w:val="0075042F"/>
    <w:rsid w:val="00751F73"/>
    <w:rsid w:val="00753BF8"/>
    <w:rsid w:val="00753FE6"/>
    <w:rsid w:val="00757984"/>
    <w:rsid w:val="007611C3"/>
    <w:rsid w:val="00761D6E"/>
    <w:rsid w:val="00762589"/>
    <w:rsid w:val="007654C6"/>
    <w:rsid w:val="0078114F"/>
    <w:rsid w:val="007856B6"/>
    <w:rsid w:val="00790AD2"/>
    <w:rsid w:val="00791469"/>
    <w:rsid w:val="0079242A"/>
    <w:rsid w:val="00792AB6"/>
    <w:rsid w:val="0079350F"/>
    <w:rsid w:val="00793DC1"/>
    <w:rsid w:val="007951C6"/>
    <w:rsid w:val="007964F1"/>
    <w:rsid w:val="007A5784"/>
    <w:rsid w:val="007A5811"/>
    <w:rsid w:val="007B613C"/>
    <w:rsid w:val="007B6967"/>
    <w:rsid w:val="007B6F50"/>
    <w:rsid w:val="007C0ECE"/>
    <w:rsid w:val="007C2537"/>
    <w:rsid w:val="007C3F54"/>
    <w:rsid w:val="007C4BE9"/>
    <w:rsid w:val="007C5199"/>
    <w:rsid w:val="007C6A8A"/>
    <w:rsid w:val="007C7248"/>
    <w:rsid w:val="007C7A01"/>
    <w:rsid w:val="007D04C0"/>
    <w:rsid w:val="007D7AA3"/>
    <w:rsid w:val="007D7C4D"/>
    <w:rsid w:val="007D7D3D"/>
    <w:rsid w:val="007E0D7E"/>
    <w:rsid w:val="007E1DC2"/>
    <w:rsid w:val="007F01BF"/>
    <w:rsid w:val="008004FF"/>
    <w:rsid w:val="008009C4"/>
    <w:rsid w:val="00802A56"/>
    <w:rsid w:val="008054E0"/>
    <w:rsid w:val="008105E1"/>
    <w:rsid w:val="00810890"/>
    <w:rsid w:val="008120FF"/>
    <w:rsid w:val="0082320B"/>
    <w:rsid w:val="00825A26"/>
    <w:rsid w:val="008303D7"/>
    <w:rsid w:val="00830A91"/>
    <w:rsid w:val="00831A80"/>
    <w:rsid w:val="008359CB"/>
    <w:rsid w:val="00843194"/>
    <w:rsid w:val="008463B1"/>
    <w:rsid w:val="008500B6"/>
    <w:rsid w:val="00852480"/>
    <w:rsid w:val="00852B18"/>
    <w:rsid w:val="00853DA3"/>
    <w:rsid w:val="00853F7A"/>
    <w:rsid w:val="00855350"/>
    <w:rsid w:val="00860760"/>
    <w:rsid w:val="00861C44"/>
    <w:rsid w:val="008620F8"/>
    <w:rsid w:val="00863186"/>
    <w:rsid w:val="00863774"/>
    <w:rsid w:val="008641D6"/>
    <w:rsid w:val="00864A0C"/>
    <w:rsid w:val="00864BC2"/>
    <w:rsid w:val="00865E18"/>
    <w:rsid w:val="00865E3B"/>
    <w:rsid w:val="008756B3"/>
    <w:rsid w:val="0088039E"/>
    <w:rsid w:val="00886676"/>
    <w:rsid w:val="008874A7"/>
    <w:rsid w:val="00892AEF"/>
    <w:rsid w:val="00892B3F"/>
    <w:rsid w:val="008A3C4C"/>
    <w:rsid w:val="008A507F"/>
    <w:rsid w:val="008A6C3F"/>
    <w:rsid w:val="008B14D8"/>
    <w:rsid w:val="008B2328"/>
    <w:rsid w:val="008B4010"/>
    <w:rsid w:val="008C144B"/>
    <w:rsid w:val="008C2248"/>
    <w:rsid w:val="008C6040"/>
    <w:rsid w:val="008D1AF1"/>
    <w:rsid w:val="008D3361"/>
    <w:rsid w:val="008E08CD"/>
    <w:rsid w:val="008E2B87"/>
    <w:rsid w:val="008E7758"/>
    <w:rsid w:val="008E7D53"/>
    <w:rsid w:val="008F3AE1"/>
    <w:rsid w:val="008F7611"/>
    <w:rsid w:val="00902763"/>
    <w:rsid w:val="00903BD8"/>
    <w:rsid w:val="0090422B"/>
    <w:rsid w:val="00904908"/>
    <w:rsid w:val="00904CD5"/>
    <w:rsid w:val="00910580"/>
    <w:rsid w:val="009113CE"/>
    <w:rsid w:val="00911700"/>
    <w:rsid w:val="009147AE"/>
    <w:rsid w:val="0091492E"/>
    <w:rsid w:val="00916604"/>
    <w:rsid w:val="0092206A"/>
    <w:rsid w:val="00927284"/>
    <w:rsid w:val="00931A57"/>
    <w:rsid w:val="0093411E"/>
    <w:rsid w:val="00934C18"/>
    <w:rsid w:val="00937385"/>
    <w:rsid w:val="00943C18"/>
    <w:rsid w:val="00944B24"/>
    <w:rsid w:val="00945916"/>
    <w:rsid w:val="0094779A"/>
    <w:rsid w:val="00951A37"/>
    <w:rsid w:val="00951A50"/>
    <w:rsid w:val="00951BB2"/>
    <w:rsid w:val="009545F4"/>
    <w:rsid w:val="00955AFD"/>
    <w:rsid w:val="00955CE6"/>
    <w:rsid w:val="00956B7C"/>
    <w:rsid w:val="00961145"/>
    <w:rsid w:val="00962981"/>
    <w:rsid w:val="009636E1"/>
    <w:rsid w:val="009649F7"/>
    <w:rsid w:val="009657A9"/>
    <w:rsid w:val="009657B6"/>
    <w:rsid w:val="009678F7"/>
    <w:rsid w:val="00967FD6"/>
    <w:rsid w:val="0097045D"/>
    <w:rsid w:val="00970DE1"/>
    <w:rsid w:val="009742CD"/>
    <w:rsid w:val="00974D22"/>
    <w:rsid w:val="009753FE"/>
    <w:rsid w:val="0098027A"/>
    <w:rsid w:val="00980C1B"/>
    <w:rsid w:val="00981578"/>
    <w:rsid w:val="00984D14"/>
    <w:rsid w:val="00992F34"/>
    <w:rsid w:val="00993113"/>
    <w:rsid w:val="009978CB"/>
    <w:rsid w:val="009A5B14"/>
    <w:rsid w:val="009A6D36"/>
    <w:rsid w:val="009A6E95"/>
    <w:rsid w:val="009B0E52"/>
    <w:rsid w:val="009B1E46"/>
    <w:rsid w:val="009B37CC"/>
    <w:rsid w:val="009B5C53"/>
    <w:rsid w:val="009C0466"/>
    <w:rsid w:val="009C2EC6"/>
    <w:rsid w:val="009C32E1"/>
    <w:rsid w:val="009C35A9"/>
    <w:rsid w:val="009C637A"/>
    <w:rsid w:val="009C7EF1"/>
    <w:rsid w:val="009D3F34"/>
    <w:rsid w:val="009D66FC"/>
    <w:rsid w:val="009D7080"/>
    <w:rsid w:val="009D7E7C"/>
    <w:rsid w:val="009E0399"/>
    <w:rsid w:val="009E0B68"/>
    <w:rsid w:val="009E1B3D"/>
    <w:rsid w:val="009E73AF"/>
    <w:rsid w:val="009F09C6"/>
    <w:rsid w:val="009F36ED"/>
    <w:rsid w:val="009F38CB"/>
    <w:rsid w:val="009F4648"/>
    <w:rsid w:val="009F48E7"/>
    <w:rsid w:val="00A003E0"/>
    <w:rsid w:val="00A00C00"/>
    <w:rsid w:val="00A01667"/>
    <w:rsid w:val="00A05D94"/>
    <w:rsid w:val="00A07AFE"/>
    <w:rsid w:val="00A128E9"/>
    <w:rsid w:val="00A12E29"/>
    <w:rsid w:val="00A13B4E"/>
    <w:rsid w:val="00A158CE"/>
    <w:rsid w:val="00A170EE"/>
    <w:rsid w:val="00A2037B"/>
    <w:rsid w:val="00A249B8"/>
    <w:rsid w:val="00A24CEE"/>
    <w:rsid w:val="00A262B9"/>
    <w:rsid w:val="00A27A98"/>
    <w:rsid w:val="00A30BEA"/>
    <w:rsid w:val="00A30FD7"/>
    <w:rsid w:val="00A3197D"/>
    <w:rsid w:val="00A35F93"/>
    <w:rsid w:val="00A36ED8"/>
    <w:rsid w:val="00A37872"/>
    <w:rsid w:val="00A378C1"/>
    <w:rsid w:val="00A40340"/>
    <w:rsid w:val="00A43711"/>
    <w:rsid w:val="00A43956"/>
    <w:rsid w:val="00A43FDD"/>
    <w:rsid w:val="00A5005B"/>
    <w:rsid w:val="00A5103A"/>
    <w:rsid w:val="00A52A73"/>
    <w:rsid w:val="00A53B14"/>
    <w:rsid w:val="00A60648"/>
    <w:rsid w:val="00A60671"/>
    <w:rsid w:val="00A6510E"/>
    <w:rsid w:val="00A65442"/>
    <w:rsid w:val="00A65A56"/>
    <w:rsid w:val="00A673B0"/>
    <w:rsid w:val="00A702F5"/>
    <w:rsid w:val="00A710EC"/>
    <w:rsid w:val="00A7411E"/>
    <w:rsid w:val="00A741D2"/>
    <w:rsid w:val="00A75895"/>
    <w:rsid w:val="00A75E9D"/>
    <w:rsid w:val="00A812FC"/>
    <w:rsid w:val="00A83177"/>
    <w:rsid w:val="00A83797"/>
    <w:rsid w:val="00A86C72"/>
    <w:rsid w:val="00A93ECF"/>
    <w:rsid w:val="00AA0EA1"/>
    <w:rsid w:val="00AA103F"/>
    <w:rsid w:val="00AA11BC"/>
    <w:rsid w:val="00AA2599"/>
    <w:rsid w:val="00AA25BF"/>
    <w:rsid w:val="00AA3361"/>
    <w:rsid w:val="00AA36EF"/>
    <w:rsid w:val="00AA4D46"/>
    <w:rsid w:val="00AB3879"/>
    <w:rsid w:val="00AB66F9"/>
    <w:rsid w:val="00AB66FD"/>
    <w:rsid w:val="00AD48B9"/>
    <w:rsid w:val="00AD506D"/>
    <w:rsid w:val="00AD5B29"/>
    <w:rsid w:val="00AE079E"/>
    <w:rsid w:val="00AE3377"/>
    <w:rsid w:val="00AE6F50"/>
    <w:rsid w:val="00AF101C"/>
    <w:rsid w:val="00AF1622"/>
    <w:rsid w:val="00AF4534"/>
    <w:rsid w:val="00AF4B98"/>
    <w:rsid w:val="00AF5FE6"/>
    <w:rsid w:val="00B00621"/>
    <w:rsid w:val="00B021AC"/>
    <w:rsid w:val="00B07347"/>
    <w:rsid w:val="00B07BB1"/>
    <w:rsid w:val="00B11090"/>
    <w:rsid w:val="00B11B0D"/>
    <w:rsid w:val="00B16A13"/>
    <w:rsid w:val="00B23D14"/>
    <w:rsid w:val="00B25086"/>
    <w:rsid w:val="00B27E1F"/>
    <w:rsid w:val="00B27FD8"/>
    <w:rsid w:val="00B30BB0"/>
    <w:rsid w:val="00B31268"/>
    <w:rsid w:val="00B36689"/>
    <w:rsid w:val="00B370E7"/>
    <w:rsid w:val="00B45D99"/>
    <w:rsid w:val="00B46AFF"/>
    <w:rsid w:val="00B522BF"/>
    <w:rsid w:val="00B52882"/>
    <w:rsid w:val="00B5331E"/>
    <w:rsid w:val="00B55154"/>
    <w:rsid w:val="00B568C0"/>
    <w:rsid w:val="00B57E6B"/>
    <w:rsid w:val="00B625B6"/>
    <w:rsid w:val="00B65241"/>
    <w:rsid w:val="00B66FB8"/>
    <w:rsid w:val="00B71F00"/>
    <w:rsid w:val="00B73215"/>
    <w:rsid w:val="00B73B8D"/>
    <w:rsid w:val="00B75DD0"/>
    <w:rsid w:val="00B84387"/>
    <w:rsid w:val="00B85478"/>
    <w:rsid w:val="00B86442"/>
    <w:rsid w:val="00B952A1"/>
    <w:rsid w:val="00B95965"/>
    <w:rsid w:val="00B9742E"/>
    <w:rsid w:val="00BA0A9D"/>
    <w:rsid w:val="00BB0AF1"/>
    <w:rsid w:val="00BB0FC6"/>
    <w:rsid w:val="00BC0EEB"/>
    <w:rsid w:val="00BC1C64"/>
    <w:rsid w:val="00BC6104"/>
    <w:rsid w:val="00BD119E"/>
    <w:rsid w:val="00BD121E"/>
    <w:rsid w:val="00BD2E51"/>
    <w:rsid w:val="00BD58F5"/>
    <w:rsid w:val="00BD6D63"/>
    <w:rsid w:val="00BE0328"/>
    <w:rsid w:val="00BE4AF7"/>
    <w:rsid w:val="00BE62A4"/>
    <w:rsid w:val="00BF00F5"/>
    <w:rsid w:val="00BF1FB9"/>
    <w:rsid w:val="00BF36EF"/>
    <w:rsid w:val="00BF3C60"/>
    <w:rsid w:val="00BF4CE7"/>
    <w:rsid w:val="00C004B5"/>
    <w:rsid w:val="00C02A9E"/>
    <w:rsid w:val="00C0311A"/>
    <w:rsid w:val="00C038F1"/>
    <w:rsid w:val="00C044AA"/>
    <w:rsid w:val="00C04A92"/>
    <w:rsid w:val="00C10E0A"/>
    <w:rsid w:val="00C11EB8"/>
    <w:rsid w:val="00C14E9E"/>
    <w:rsid w:val="00C200E1"/>
    <w:rsid w:val="00C211E7"/>
    <w:rsid w:val="00C23BBF"/>
    <w:rsid w:val="00C2506A"/>
    <w:rsid w:val="00C31E27"/>
    <w:rsid w:val="00C32143"/>
    <w:rsid w:val="00C3593A"/>
    <w:rsid w:val="00C438AA"/>
    <w:rsid w:val="00C43E8F"/>
    <w:rsid w:val="00C45169"/>
    <w:rsid w:val="00C4720E"/>
    <w:rsid w:val="00C50A37"/>
    <w:rsid w:val="00C528D9"/>
    <w:rsid w:val="00C53D98"/>
    <w:rsid w:val="00C62783"/>
    <w:rsid w:val="00C6575D"/>
    <w:rsid w:val="00C65EE9"/>
    <w:rsid w:val="00C66EBA"/>
    <w:rsid w:val="00C70FCD"/>
    <w:rsid w:val="00C80274"/>
    <w:rsid w:val="00C80435"/>
    <w:rsid w:val="00C85093"/>
    <w:rsid w:val="00C93D08"/>
    <w:rsid w:val="00C96988"/>
    <w:rsid w:val="00C97100"/>
    <w:rsid w:val="00C971F8"/>
    <w:rsid w:val="00CA1B57"/>
    <w:rsid w:val="00CA2FC2"/>
    <w:rsid w:val="00CA45AF"/>
    <w:rsid w:val="00CA7D2E"/>
    <w:rsid w:val="00CB034C"/>
    <w:rsid w:val="00CB0FBC"/>
    <w:rsid w:val="00CB35CF"/>
    <w:rsid w:val="00CB5783"/>
    <w:rsid w:val="00CC05DA"/>
    <w:rsid w:val="00CC2F11"/>
    <w:rsid w:val="00CC39B5"/>
    <w:rsid w:val="00CC5333"/>
    <w:rsid w:val="00CC64F8"/>
    <w:rsid w:val="00CC7071"/>
    <w:rsid w:val="00CD03B9"/>
    <w:rsid w:val="00CD6D79"/>
    <w:rsid w:val="00CE17F2"/>
    <w:rsid w:val="00CE2D72"/>
    <w:rsid w:val="00CE319A"/>
    <w:rsid w:val="00CE6713"/>
    <w:rsid w:val="00CE7AEB"/>
    <w:rsid w:val="00CF69EB"/>
    <w:rsid w:val="00CF7891"/>
    <w:rsid w:val="00D01C80"/>
    <w:rsid w:val="00D03071"/>
    <w:rsid w:val="00D037C9"/>
    <w:rsid w:val="00D03997"/>
    <w:rsid w:val="00D04034"/>
    <w:rsid w:val="00D22AA4"/>
    <w:rsid w:val="00D240EB"/>
    <w:rsid w:val="00D26182"/>
    <w:rsid w:val="00D30109"/>
    <w:rsid w:val="00D331F4"/>
    <w:rsid w:val="00D35057"/>
    <w:rsid w:val="00D501CC"/>
    <w:rsid w:val="00D51EE2"/>
    <w:rsid w:val="00D5230F"/>
    <w:rsid w:val="00D53741"/>
    <w:rsid w:val="00D53C57"/>
    <w:rsid w:val="00D54753"/>
    <w:rsid w:val="00D5548F"/>
    <w:rsid w:val="00D6302A"/>
    <w:rsid w:val="00D63C04"/>
    <w:rsid w:val="00D66FB8"/>
    <w:rsid w:val="00D752C1"/>
    <w:rsid w:val="00D76E2B"/>
    <w:rsid w:val="00D7705C"/>
    <w:rsid w:val="00D77749"/>
    <w:rsid w:val="00D77E46"/>
    <w:rsid w:val="00D82675"/>
    <w:rsid w:val="00D833DA"/>
    <w:rsid w:val="00D843FE"/>
    <w:rsid w:val="00D87696"/>
    <w:rsid w:val="00D87FC5"/>
    <w:rsid w:val="00D933B1"/>
    <w:rsid w:val="00D948C3"/>
    <w:rsid w:val="00D97EFB"/>
    <w:rsid w:val="00DA2541"/>
    <w:rsid w:val="00DA401E"/>
    <w:rsid w:val="00DA4DDE"/>
    <w:rsid w:val="00DA4FD8"/>
    <w:rsid w:val="00DB063E"/>
    <w:rsid w:val="00DB0D7A"/>
    <w:rsid w:val="00DB258E"/>
    <w:rsid w:val="00DB2727"/>
    <w:rsid w:val="00DB3E2D"/>
    <w:rsid w:val="00DB4C79"/>
    <w:rsid w:val="00DC02D1"/>
    <w:rsid w:val="00DC03F8"/>
    <w:rsid w:val="00DC7214"/>
    <w:rsid w:val="00DD14EE"/>
    <w:rsid w:val="00DD4243"/>
    <w:rsid w:val="00DD4DEA"/>
    <w:rsid w:val="00DD5932"/>
    <w:rsid w:val="00DD5D56"/>
    <w:rsid w:val="00DE04F6"/>
    <w:rsid w:val="00DE1596"/>
    <w:rsid w:val="00DE18B5"/>
    <w:rsid w:val="00DE3C28"/>
    <w:rsid w:val="00DE4909"/>
    <w:rsid w:val="00DE7A83"/>
    <w:rsid w:val="00DF1267"/>
    <w:rsid w:val="00DF47CD"/>
    <w:rsid w:val="00DF767C"/>
    <w:rsid w:val="00E00B26"/>
    <w:rsid w:val="00E00E15"/>
    <w:rsid w:val="00E01389"/>
    <w:rsid w:val="00E013C8"/>
    <w:rsid w:val="00E014B6"/>
    <w:rsid w:val="00E03237"/>
    <w:rsid w:val="00E043FD"/>
    <w:rsid w:val="00E11329"/>
    <w:rsid w:val="00E133B2"/>
    <w:rsid w:val="00E13859"/>
    <w:rsid w:val="00E1597B"/>
    <w:rsid w:val="00E17031"/>
    <w:rsid w:val="00E21573"/>
    <w:rsid w:val="00E23B88"/>
    <w:rsid w:val="00E26108"/>
    <w:rsid w:val="00E31161"/>
    <w:rsid w:val="00E44B85"/>
    <w:rsid w:val="00E44EA0"/>
    <w:rsid w:val="00E45784"/>
    <w:rsid w:val="00E5284E"/>
    <w:rsid w:val="00E5543D"/>
    <w:rsid w:val="00E564B3"/>
    <w:rsid w:val="00E56519"/>
    <w:rsid w:val="00E56B05"/>
    <w:rsid w:val="00E5774C"/>
    <w:rsid w:val="00E63BC5"/>
    <w:rsid w:val="00E65D82"/>
    <w:rsid w:val="00E66972"/>
    <w:rsid w:val="00E6740A"/>
    <w:rsid w:val="00E677F6"/>
    <w:rsid w:val="00E73217"/>
    <w:rsid w:val="00E74BB3"/>
    <w:rsid w:val="00E7506C"/>
    <w:rsid w:val="00E805F0"/>
    <w:rsid w:val="00E80A48"/>
    <w:rsid w:val="00E830D5"/>
    <w:rsid w:val="00E861E0"/>
    <w:rsid w:val="00E86C94"/>
    <w:rsid w:val="00E904B3"/>
    <w:rsid w:val="00E9113C"/>
    <w:rsid w:val="00E96E44"/>
    <w:rsid w:val="00EB253A"/>
    <w:rsid w:val="00EB7CDB"/>
    <w:rsid w:val="00EC01A7"/>
    <w:rsid w:val="00EC1F6B"/>
    <w:rsid w:val="00EC355F"/>
    <w:rsid w:val="00EC3F6B"/>
    <w:rsid w:val="00EC67B0"/>
    <w:rsid w:val="00ED0BDE"/>
    <w:rsid w:val="00EE3400"/>
    <w:rsid w:val="00EE4E35"/>
    <w:rsid w:val="00EE569E"/>
    <w:rsid w:val="00EE56CB"/>
    <w:rsid w:val="00EE6F29"/>
    <w:rsid w:val="00EE6FFF"/>
    <w:rsid w:val="00EF3167"/>
    <w:rsid w:val="00EF3901"/>
    <w:rsid w:val="00EF4D66"/>
    <w:rsid w:val="00F023CE"/>
    <w:rsid w:val="00F0288E"/>
    <w:rsid w:val="00F04E51"/>
    <w:rsid w:val="00F0541E"/>
    <w:rsid w:val="00F13357"/>
    <w:rsid w:val="00F13422"/>
    <w:rsid w:val="00F1563A"/>
    <w:rsid w:val="00F17E74"/>
    <w:rsid w:val="00F214B0"/>
    <w:rsid w:val="00F218DD"/>
    <w:rsid w:val="00F25C77"/>
    <w:rsid w:val="00F3073C"/>
    <w:rsid w:val="00F30864"/>
    <w:rsid w:val="00F350B0"/>
    <w:rsid w:val="00F36726"/>
    <w:rsid w:val="00F42724"/>
    <w:rsid w:val="00F449F1"/>
    <w:rsid w:val="00F46919"/>
    <w:rsid w:val="00F4736F"/>
    <w:rsid w:val="00F51F61"/>
    <w:rsid w:val="00F52C06"/>
    <w:rsid w:val="00F544EC"/>
    <w:rsid w:val="00F55806"/>
    <w:rsid w:val="00F56467"/>
    <w:rsid w:val="00F60BF2"/>
    <w:rsid w:val="00F61DFC"/>
    <w:rsid w:val="00F62A1D"/>
    <w:rsid w:val="00F64F38"/>
    <w:rsid w:val="00F717DF"/>
    <w:rsid w:val="00F76ACB"/>
    <w:rsid w:val="00F8147E"/>
    <w:rsid w:val="00F83158"/>
    <w:rsid w:val="00F94029"/>
    <w:rsid w:val="00FA7833"/>
    <w:rsid w:val="00FB0701"/>
    <w:rsid w:val="00FB419C"/>
    <w:rsid w:val="00FB594A"/>
    <w:rsid w:val="00FB66F9"/>
    <w:rsid w:val="00FB70D2"/>
    <w:rsid w:val="00FC2CDC"/>
    <w:rsid w:val="00FC2DD0"/>
    <w:rsid w:val="00FC5D36"/>
    <w:rsid w:val="00FC6471"/>
    <w:rsid w:val="00FC6493"/>
    <w:rsid w:val="00FC79E0"/>
    <w:rsid w:val="00FD0804"/>
    <w:rsid w:val="00FD6781"/>
    <w:rsid w:val="00FE1479"/>
    <w:rsid w:val="00FE31C9"/>
    <w:rsid w:val="00FE33C1"/>
    <w:rsid w:val="00FE3752"/>
    <w:rsid w:val="00FE4140"/>
    <w:rsid w:val="00FE6BA0"/>
    <w:rsid w:val="00FE7588"/>
    <w:rsid w:val="00FF3D67"/>
    <w:rsid w:val="00FF60E3"/>
    <w:rsid w:val="00FF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36D4"/>
  <w15:chartTrackingRefBased/>
  <w15:docId w15:val="{25FE5E17-3D47-4C4F-ACF7-A9E45AE83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F6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9E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32610"/>
    <w:rPr>
      <w:sz w:val="16"/>
      <w:szCs w:val="16"/>
    </w:rPr>
  </w:style>
  <w:style w:type="paragraph" w:styleId="CommentText">
    <w:name w:val="annotation text"/>
    <w:basedOn w:val="Normal"/>
    <w:link w:val="CommentTextChar"/>
    <w:uiPriority w:val="99"/>
    <w:semiHidden/>
    <w:unhideWhenUsed/>
    <w:rsid w:val="00632610"/>
    <w:pPr>
      <w:spacing w:line="240" w:lineRule="auto"/>
    </w:pPr>
    <w:rPr>
      <w:sz w:val="20"/>
      <w:szCs w:val="20"/>
    </w:rPr>
  </w:style>
  <w:style w:type="character" w:customStyle="1" w:styleId="CommentTextChar">
    <w:name w:val="Comment Text Char"/>
    <w:basedOn w:val="DefaultParagraphFont"/>
    <w:link w:val="CommentText"/>
    <w:uiPriority w:val="99"/>
    <w:semiHidden/>
    <w:rsid w:val="00632610"/>
    <w:rPr>
      <w:sz w:val="20"/>
      <w:szCs w:val="20"/>
    </w:rPr>
  </w:style>
  <w:style w:type="paragraph" w:styleId="CommentSubject">
    <w:name w:val="annotation subject"/>
    <w:basedOn w:val="CommentText"/>
    <w:next w:val="CommentText"/>
    <w:link w:val="CommentSubjectChar"/>
    <w:uiPriority w:val="99"/>
    <w:semiHidden/>
    <w:unhideWhenUsed/>
    <w:rsid w:val="00632610"/>
    <w:rPr>
      <w:b/>
      <w:bCs/>
    </w:rPr>
  </w:style>
  <w:style w:type="character" w:customStyle="1" w:styleId="CommentSubjectChar">
    <w:name w:val="Comment Subject Char"/>
    <w:basedOn w:val="CommentTextChar"/>
    <w:link w:val="CommentSubject"/>
    <w:uiPriority w:val="99"/>
    <w:semiHidden/>
    <w:rsid w:val="00632610"/>
    <w:rPr>
      <w:b/>
      <w:bCs/>
      <w:sz w:val="20"/>
      <w:szCs w:val="20"/>
    </w:rPr>
  </w:style>
  <w:style w:type="paragraph" w:styleId="ListParagraph">
    <w:name w:val="List Paragraph"/>
    <w:basedOn w:val="Normal"/>
    <w:uiPriority w:val="34"/>
    <w:qFormat/>
    <w:rsid w:val="00AE6F50"/>
    <w:pPr>
      <w:ind w:left="720"/>
      <w:contextualSpacing/>
    </w:pPr>
  </w:style>
  <w:style w:type="paragraph" w:styleId="Bibliography">
    <w:name w:val="Bibliography"/>
    <w:basedOn w:val="Normal"/>
    <w:next w:val="Normal"/>
    <w:uiPriority w:val="37"/>
    <w:unhideWhenUsed/>
    <w:rsid w:val="00B86442"/>
    <w:pPr>
      <w:tabs>
        <w:tab w:val="left" w:pos="384"/>
      </w:tabs>
      <w:spacing w:after="240" w:line="240" w:lineRule="auto"/>
      <w:ind w:left="384" w:hanging="384"/>
    </w:pPr>
  </w:style>
  <w:style w:type="paragraph" w:styleId="Header">
    <w:name w:val="header"/>
    <w:basedOn w:val="Normal"/>
    <w:link w:val="HeaderChar"/>
    <w:uiPriority w:val="99"/>
    <w:unhideWhenUsed/>
    <w:rsid w:val="00FD6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781"/>
  </w:style>
  <w:style w:type="paragraph" w:styleId="Footer">
    <w:name w:val="footer"/>
    <w:basedOn w:val="Normal"/>
    <w:link w:val="FooterChar"/>
    <w:uiPriority w:val="99"/>
    <w:unhideWhenUsed/>
    <w:rsid w:val="00FD6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781"/>
  </w:style>
  <w:style w:type="character" w:styleId="PlaceholderText">
    <w:name w:val="Placeholder Text"/>
    <w:basedOn w:val="DefaultParagraphFont"/>
    <w:uiPriority w:val="99"/>
    <w:semiHidden/>
    <w:rsid w:val="008620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1480">
      <w:bodyDiv w:val="1"/>
      <w:marLeft w:val="0"/>
      <w:marRight w:val="0"/>
      <w:marTop w:val="0"/>
      <w:marBottom w:val="0"/>
      <w:divBdr>
        <w:top w:val="none" w:sz="0" w:space="0" w:color="auto"/>
        <w:left w:val="none" w:sz="0" w:space="0" w:color="auto"/>
        <w:bottom w:val="none" w:sz="0" w:space="0" w:color="auto"/>
        <w:right w:val="none" w:sz="0" w:space="0" w:color="auto"/>
      </w:divBdr>
    </w:div>
    <w:div w:id="113670695">
      <w:bodyDiv w:val="1"/>
      <w:marLeft w:val="0"/>
      <w:marRight w:val="0"/>
      <w:marTop w:val="0"/>
      <w:marBottom w:val="0"/>
      <w:divBdr>
        <w:top w:val="none" w:sz="0" w:space="0" w:color="auto"/>
        <w:left w:val="none" w:sz="0" w:space="0" w:color="auto"/>
        <w:bottom w:val="none" w:sz="0" w:space="0" w:color="auto"/>
        <w:right w:val="none" w:sz="0" w:space="0" w:color="auto"/>
      </w:divBdr>
      <w:divsChild>
        <w:div w:id="1669552335">
          <w:marLeft w:val="1224"/>
          <w:marRight w:val="0"/>
          <w:marTop w:val="0"/>
          <w:marBottom w:val="0"/>
          <w:divBdr>
            <w:top w:val="none" w:sz="0" w:space="0" w:color="auto"/>
            <w:left w:val="none" w:sz="0" w:space="0" w:color="auto"/>
            <w:bottom w:val="none" w:sz="0" w:space="0" w:color="auto"/>
            <w:right w:val="none" w:sz="0" w:space="0" w:color="auto"/>
          </w:divBdr>
        </w:div>
        <w:div w:id="1913806820">
          <w:marLeft w:val="1224"/>
          <w:marRight w:val="0"/>
          <w:marTop w:val="0"/>
          <w:marBottom w:val="0"/>
          <w:divBdr>
            <w:top w:val="none" w:sz="0" w:space="0" w:color="auto"/>
            <w:left w:val="none" w:sz="0" w:space="0" w:color="auto"/>
            <w:bottom w:val="none" w:sz="0" w:space="0" w:color="auto"/>
            <w:right w:val="none" w:sz="0" w:space="0" w:color="auto"/>
          </w:divBdr>
        </w:div>
        <w:div w:id="2059889408">
          <w:marLeft w:val="1224"/>
          <w:marRight w:val="0"/>
          <w:marTop w:val="0"/>
          <w:marBottom w:val="0"/>
          <w:divBdr>
            <w:top w:val="none" w:sz="0" w:space="0" w:color="auto"/>
            <w:left w:val="none" w:sz="0" w:space="0" w:color="auto"/>
            <w:bottom w:val="none" w:sz="0" w:space="0" w:color="auto"/>
            <w:right w:val="none" w:sz="0" w:space="0" w:color="auto"/>
          </w:divBdr>
        </w:div>
        <w:div w:id="331103780">
          <w:marLeft w:val="1224"/>
          <w:marRight w:val="0"/>
          <w:marTop w:val="0"/>
          <w:marBottom w:val="0"/>
          <w:divBdr>
            <w:top w:val="none" w:sz="0" w:space="0" w:color="auto"/>
            <w:left w:val="none" w:sz="0" w:space="0" w:color="auto"/>
            <w:bottom w:val="none" w:sz="0" w:space="0" w:color="auto"/>
            <w:right w:val="none" w:sz="0" w:space="0" w:color="auto"/>
          </w:divBdr>
        </w:div>
      </w:divsChild>
    </w:div>
    <w:div w:id="474832766">
      <w:bodyDiv w:val="1"/>
      <w:marLeft w:val="0"/>
      <w:marRight w:val="0"/>
      <w:marTop w:val="0"/>
      <w:marBottom w:val="0"/>
      <w:divBdr>
        <w:top w:val="none" w:sz="0" w:space="0" w:color="auto"/>
        <w:left w:val="none" w:sz="0" w:space="0" w:color="auto"/>
        <w:bottom w:val="none" w:sz="0" w:space="0" w:color="auto"/>
        <w:right w:val="none" w:sz="0" w:space="0" w:color="auto"/>
      </w:divBdr>
    </w:div>
    <w:div w:id="537476841">
      <w:bodyDiv w:val="1"/>
      <w:marLeft w:val="0"/>
      <w:marRight w:val="0"/>
      <w:marTop w:val="0"/>
      <w:marBottom w:val="0"/>
      <w:divBdr>
        <w:top w:val="none" w:sz="0" w:space="0" w:color="auto"/>
        <w:left w:val="none" w:sz="0" w:space="0" w:color="auto"/>
        <w:bottom w:val="none" w:sz="0" w:space="0" w:color="auto"/>
        <w:right w:val="none" w:sz="0" w:space="0" w:color="auto"/>
      </w:divBdr>
      <w:divsChild>
        <w:div w:id="1558854584">
          <w:marLeft w:val="1224"/>
          <w:marRight w:val="0"/>
          <w:marTop w:val="0"/>
          <w:marBottom w:val="0"/>
          <w:divBdr>
            <w:top w:val="none" w:sz="0" w:space="0" w:color="auto"/>
            <w:left w:val="none" w:sz="0" w:space="0" w:color="auto"/>
            <w:bottom w:val="none" w:sz="0" w:space="0" w:color="auto"/>
            <w:right w:val="none" w:sz="0" w:space="0" w:color="auto"/>
          </w:divBdr>
        </w:div>
      </w:divsChild>
    </w:div>
    <w:div w:id="770900738">
      <w:bodyDiv w:val="1"/>
      <w:marLeft w:val="0"/>
      <w:marRight w:val="0"/>
      <w:marTop w:val="0"/>
      <w:marBottom w:val="0"/>
      <w:divBdr>
        <w:top w:val="none" w:sz="0" w:space="0" w:color="auto"/>
        <w:left w:val="none" w:sz="0" w:space="0" w:color="auto"/>
        <w:bottom w:val="none" w:sz="0" w:space="0" w:color="auto"/>
        <w:right w:val="none" w:sz="0" w:space="0" w:color="auto"/>
      </w:divBdr>
    </w:div>
    <w:div w:id="1187210309">
      <w:bodyDiv w:val="1"/>
      <w:marLeft w:val="0"/>
      <w:marRight w:val="0"/>
      <w:marTop w:val="0"/>
      <w:marBottom w:val="0"/>
      <w:divBdr>
        <w:top w:val="none" w:sz="0" w:space="0" w:color="auto"/>
        <w:left w:val="none" w:sz="0" w:space="0" w:color="auto"/>
        <w:bottom w:val="none" w:sz="0" w:space="0" w:color="auto"/>
        <w:right w:val="none" w:sz="0" w:space="0" w:color="auto"/>
      </w:divBdr>
      <w:divsChild>
        <w:div w:id="1635521792">
          <w:marLeft w:val="1498"/>
          <w:marRight w:val="0"/>
          <w:marTop w:val="0"/>
          <w:marBottom w:val="0"/>
          <w:divBdr>
            <w:top w:val="none" w:sz="0" w:space="0" w:color="auto"/>
            <w:left w:val="none" w:sz="0" w:space="0" w:color="auto"/>
            <w:bottom w:val="none" w:sz="0" w:space="0" w:color="auto"/>
            <w:right w:val="none" w:sz="0" w:space="0" w:color="auto"/>
          </w:divBdr>
        </w:div>
        <w:div w:id="1082994473">
          <w:marLeft w:val="1498"/>
          <w:marRight w:val="0"/>
          <w:marTop w:val="0"/>
          <w:marBottom w:val="0"/>
          <w:divBdr>
            <w:top w:val="none" w:sz="0" w:space="0" w:color="auto"/>
            <w:left w:val="none" w:sz="0" w:space="0" w:color="auto"/>
            <w:bottom w:val="none" w:sz="0" w:space="0" w:color="auto"/>
            <w:right w:val="none" w:sz="0" w:space="0" w:color="auto"/>
          </w:divBdr>
        </w:div>
        <w:div w:id="1346206013">
          <w:marLeft w:val="1498"/>
          <w:marRight w:val="0"/>
          <w:marTop w:val="0"/>
          <w:marBottom w:val="0"/>
          <w:divBdr>
            <w:top w:val="none" w:sz="0" w:space="0" w:color="auto"/>
            <w:left w:val="none" w:sz="0" w:space="0" w:color="auto"/>
            <w:bottom w:val="none" w:sz="0" w:space="0" w:color="auto"/>
            <w:right w:val="none" w:sz="0" w:space="0" w:color="auto"/>
          </w:divBdr>
        </w:div>
        <w:div w:id="1438597096">
          <w:marLeft w:val="1498"/>
          <w:marRight w:val="0"/>
          <w:marTop w:val="0"/>
          <w:marBottom w:val="0"/>
          <w:divBdr>
            <w:top w:val="none" w:sz="0" w:space="0" w:color="auto"/>
            <w:left w:val="none" w:sz="0" w:space="0" w:color="auto"/>
            <w:bottom w:val="none" w:sz="0" w:space="0" w:color="auto"/>
            <w:right w:val="none" w:sz="0" w:space="0" w:color="auto"/>
          </w:divBdr>
        </w:div>
      </w:divsChild>
    </w:div>
    <w:div w:id="1308827212">
      <w:bodyDiv w:val="1"/>
      <w:marLeft w:val="0"/>
      <w:marRight w:val="0"/>
      <w:marTop w:val="0"/>
      <w:marBottom w:val="0"/>
      <w:divBdr>
        <w:top w:val="none" w:sz="0" w:space="0" w:color="auto"/>
        <w:left w:val="none" w:sz="0" w:space="0" w:color="auto"/>
        <w:bottom w:val="none" w:sz="0" w:space="0" w:color="auto"/>
        <w:right w:val="none" w:sz="0" w:space="0" w:color="auto"/>
      </w:divBdr>
    </w:div>
    <w:div w:id="1845901472">
      <w:bodyDiv w:val="1"/>
      <w:marLeft w:val="0"/>
      <w:marRight w:val="0"/>
      <w:marTop w:val="0"/>
      <w:marBottom w:val="0"/>
      <w:divBdr>
        <w:top w:val="none" w:sz="0" w:space="0" w:color="auto"/>
        <w:left w:val="none" w:sz="0" w:space="0" w:color="auto"/>
        <w:bottom w:val="none" w:sz="0" w:space="0" w:color="auto"/>
        <w:right w:val="none" w:sz="0" w:space="0" w:color="auto"/>
      </w:divBdr>
    </w:div>
    <w:div w:id="2112971107">
      <w:bodyDiv w:val="1"/>
      <w:marLeft w:val="0"/>
      <w:marRight w:val="0"/>
      <w:marTop w:val="0"/>
      <w:marBottom w:val="0"/>
      <w:divBdr>
        <w:top w:val="none" w:sz="0" w:space="0" w:color="auto"/>
        <w:left w:val="none" w:sz="0" w:space="0" w:color="auto"/>
        <w:bottom w:val="none" w:sz="0" w:space="0" w:color="auto"/>
        <w:right w:val="none" w:sz="0" w:space="0" w:color="auto"/>
      </w:divBdr>
      <w:divsChild>
        <w:div w:id="884753299">
          <w:marLeft w:val="1224"/>
          <w:marRight w:val="0"/>
          <w:marTop w:val="0"/>
          <w:marBottom w:val="0"/>
          <w:divBdr>
            <w:top w:val="none" w:sz="0" w:space="0" w:color="auto"/>
            <w:left w:val="none" w:sz="0" w:space="0" w:color="auto"/>
            <w:bottom w:val="none" w:sz="0" w:space="0" w:color="auto"/>
            <w:right w:val="none" w:sz="0" w:space="0" w:color="auto"/>
          </w:divBdr>
        </w:div>
      </w:divsChild>
    </w:div>
    <w:div w:id="212595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9695E-20A9-437C-A131-E5D085E7F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3052</TotalTime>
  <Pages>24</Pages>
  <Words>9452</Words>
  <Characters>53882</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 Gloria H.</dc:creator>
  <cp:keywords/>
  <dc:description/>
  <cp:lastModifiedBy>Graf, Gloria H.</cp:lastModifiedBy>
  <cp:revision>752</cp:revision>
  <cp:lastPrinted>2023-09-24T13:05:00Z</cp:lastPrinted>
  <dcterms:created xsi:type="dcterms:W3CDTF">2023-09-22T11:19:00Z</dcterms:created>
  <dcterms:modified xsi:type="dcterms:W3CDTF">2024-01-21T00:14:00Z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id="3OHv9n6g"/&gt;&lt;style id="http://www.zotero.org/styles/vancouver" locale="en-US" hasBibliography="1" bibliographyStyleHasBeenSet="1"/&gt;&lt;prefs&gt;&lt;pref name="fieldType" value="Field"/&gt;&lt;/prefs&gt;&lt;/data&gt;</vt:lpwstr>
  </property>
</Properties>
</file>