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Table. Summary of survey datasets included in analyses. Total: 169 survey waves and 16,448,164 participants across 6 nationally representative U.S. surveys.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0"/>
        <w:gridCol w:w="1222"/>
        <w:gridCol w:w="1277"/>
        <w:gridCol w:w="977"/>
        <w:gridCol w:w="1494"/>
        <w:gridCol w:w="1311"/>
      </w:tblGrid>
      <w:tr>
        <w:trPr>
          <w:trHeight w:val="58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Survey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Years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Waves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Avg N/Wave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Total N</w:t>
            </w:r>
          </w:p>
        </w:tc>
      </w:tr>
      <w:tr>
        <w:trPr>
          <w:trHeight w:val="59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Behavioral Risk Factor Surveillance System (CDC)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BRFSS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1993-2025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325,132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10,729,342</w:t>
            </w:r>
          </w:p>
        </w:tc>
      </w:tr>
      <w:tr>
        <w:trPr>
          <w:trHeight w:val="59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Medical Expenditure Panel Survey (AHRQ)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2000-2023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19,339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464,130</w:t>
            </w:r>
          </w:p>
        </w:tc>
      </w:tr>
      <w:tr>
        <w:trPr>
          <w:trHeight w:val="59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National Health Interview Survey (CDC/NCHS)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1983-2024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1,223,572</w:t>
            </w:r>
          </w:p>
        </w:tc>
      </w:tr>
      <w:tr>
        <w:trPr>
          <w:trHeight w:val="593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Current Population Survey (Census/BLS)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1996-2025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129,883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3,896,504</w:t>
            </w:r>
          </w:p>
        </w:tc>
      </w:tr>
      <w:tr>
        <w:trPr>
          <w:trHeight w:val="593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National Health and Nutrition Examination Survey (CDC/NCHS)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NHANES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76,989</w:t>
            </w:r>
          </w:p>
        </w:tc>
      </w:tr>
      <w:tr>
        <w:trPr>
          <w:trHeight w:val="593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General Social Survey (NORC)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1972-2024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1,801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57,627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18"/>
                <w:szCs w:val="18"/>
                <w:color w:val="000000"/>
              </w:rPr>
              <w:t xml:space="preserve">Note: SRH = self-rated health. All surveys use 5-point scale (1=Poor to 5=Excellent) except GSS (4-point, no 'Very Good').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christinekuryla</cp:lastModifiedBy>
  <cp:revision>9</cp:revision>
  <dcterms:created xsi:type="dcterms:W3CDTF">2017-02-28T11:18:00Z</dcterms:created>
  <dcterms:modified xsi:type="dcterms:W3CDTF">2026-02-26T14:04:40Z</dcterms:modified>
  <cp:category/>
</cp:coreProperties>
</file>