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color w:val="1F4E78"/>
          <w:sz w:val="46"/>
        </w:rPr>
        <w:t>可信 RegRAG｜第二周工作结果交付</w:t>
      </w:r>
    </w:p>
    <w:p>
      <w:pPr>
        <w:pStyle w:val="Subtitle"/>
      </w:pPr>
      <w:r>
        <w:rPr>
          <w:rFonts w:ascii="Arial" w:hAnsi="Arial" w:eastAsia="Microsoft YaHei"/>
          <w:color w:val="59636E"/>
          <w:sz w:val="27"/>
        </w:rPr>
        <w:t>统一仓库、接口契约、联调审查与第三周计划</w:t>
      </w:r>
    </w:p>
    <w:p>
      <w:pPr>
        <w:spacing w:after="40"/>
      </w:pPr>
      <w:r>
        <w:rPr>
          <w:rFonts w:ascii="Arial" w:hAnsi="Arial" w:eastAsia="Microsoft YaHei"/>
          <w:b/>
          <w:color w:val="1F2937"/>
          <w:sz w:val="21"/>
        </w:rPr>
        <w:t>负责人：</w:t>
      </w:r>
      <w:r>
        <w:rPr>
          <w:rFonts w:ascii="Arial" w:hAnsi="Arial" w:eastAsia="Microsoft YaHei"/>
          <w:color w:val="1F2937"/>
          <w:sz w:val="21"/>
        </w:rPr>
        <w:t>陈伦禄</w:t>
      </w:r>
    </w:p>
    <w:p>
      <w:pPr>
        <w:spacing w:after="40"/>
      </w:pPr>
      <w:r>
        <w:rPr>
          <w:rFonts w:ascii="Arial" w:hAnsi="Arial" w:eastAsia="Microsoft YaHei"/>
          <w:b/>
          <w:color w:val="1F2937"/>
          <w:sz w:val="21"/>
        </w:rPr>
        <w:t>周期：</w:t>
      </w:r>
      <w:r>
        <w:rPr>
          <w:rFonts w:ascii="Arial" w:hAnsi="Arial" w:eastAsia="Microsoft YaHei"/>
          <w:color w:val="1F2937"/>
          <w:sz w:val="21"/>
        </w:rPr>
        <w:t>2026-07-21 至 2026-07-27（补验日期：2026-07-30）</w:t>
      </w:r>
    </w:p>
    <w:p>
      <w:pPr>
        <w:spacing w:after="40"/>
      </w:pPr>
      <w:r>
        <w:rPr>
          <w:rFonts w:ascii="Arial" w:hAnsi="Arial" w:eastAsia="Microsoft YaHei"/>
          <w:b/>
          <w:color w:val="1F2937"/>
          <w:sz w:val="21"/>
        </w:rPr>
        <w:t>版本：</w:t>
      </w:r>
      <w:r>
        <w:rPr>
          <w:rFonts w:ascii="Arial" w:hAnsi="Arial" w:eastAsia="Microsoft YaHei"/>
          <w:color w:val="1F2937"/>
          <w:sz w:val="21"/>
        </w:rPr>
        <w:t>V1.0</w:t>
      </w:r>
    </w:p>
    <w:p>
      <w:pPr>
        <w:spacing w:after="40"/>
      </w:pPr>
      <w:r>
        <w:rPr>
          <w:rFonts w:ascii="Arial" w:hAnsi="Arial" w:eastAsia="Microsoft YaHei"/>
          <w:b/>
          <w:color w:val="1F2937"/>
          <w:sz w:val="21"/>
        </w:rPr>
        <w:t>仓库：</w:t>
      </w:r>
      <w:r>
        <w:rPr>
          <w:rFonts w:ascii="Arial" w:hAnsi="Arial" w:eastAsia="Microsoft YaHei"/>
          <w:color w:val="1F2937"/>
          <w:sz w:val="21"/>
        </w:rPr>
        <w:t>https://github.com/cll461943-rgb/finance-AGENT</w:t>
      </w:r>
    </w:p>
    <w:p>
      <w:pPr>
        <w:spacing w:after="240"/>
        <w:pBdr>
          <w:bottom w:val="single" w:sz="12" w:space="1" w:color="1F4E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60"/>
            </w:pPr>
            <w:r/>
            <w:r>
              <w:rPr>
                <w:rFonts w:ascii="Arial" w:hAnsi="Arial" w:eastAsia="Microsoft YaHei"/>
                <w:b/>
                <w:color w:val="7F6000"/>
                <w:sz w:val="21"/>
              </w:rPr>
              <w:t>验收结论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1F2937"/>
                <w:sz w:val="20"/>
              </w:rPr>
              <w:t>统一仓库与接口契约通过；契约 Smoke 通过。Hybrid、FinSage-Adapted、RegulatoryRAG-ML-Adapted、HiREC-Lite 缺少统一适配器和正式运行日志，横向 Baseline 验收保持 BLOCK，不以文档或 Smoke 冒充完成。</w:t>
            </w:r>
          </w:p>
        </w:tc>
      </w:tr>
    </w:tbl>
    <w:p>
      <w:pPr>
        <w:spacing w:after="40"/>
      </w:pPr>
    </w:p>
    <w:p>
      <w:pPr>
        <w:pStyle w:val="Heading1"/>
      </w:pPr>
      <w:r>
        <w:t>1. 任务依据与范围</w:t>
      </w:r>
    </w:p>
    <w:p>
      <w:pPr>
        <w:keepLines/>
      </w:pPr>
      <w:r>
        <w:t>本报告依据《可信RegRAG_第二周工作安排》完成陈伦禄负责的工程治理、接口与公平协议、联调与代码审查、周验收与第三周规划。审查同时覆盖第一周数据 PoC、评测初稿、项目计划书和 FinRegAgents 参考代码包。</w:t>
      </w:r>
    </w:p>
    <w:p>
      <w:pPr>
        <w:pStyle w:val="Heading1"/>
      </w:pPr>
      <w:r>
        <w:t>2. 本人任务完成情况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900"/>
        <w:gridCol w:w="5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任务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完成度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统一仓库 V0.1</w:t>
            </w:r>
          </w:p>
        </w:tc>
        <w:tc>
          <w:tcPr>
            <w:tcW w:type="dxa" w:w="1100"/>
            <w:shd w:fill="E2F0D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54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固定目录、相对路径、README、第三方台账；commit 83d8006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接口契约与公平协议</w:t>
            </w:r>
          </w:p>
        </w:tc>
        <w:tc>
          <w:tcPr>
            <w:tcW w:type="dxa" w:w="1100"/>
            <w:shd w:fill="E2F0D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四对象严格模型；128/128 样例校验；公平控制变量冻结</w:t>
            </w:r>
          </w:p>
        </w:tc>
      </w:tr>
      <w:tr>
        <w:trPr>
          <w:cantSplit/>
        </w:trPr>
        <w:tc>
          <w:tcPr>
            <w:tcW w:type="dxa" w:w="1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两轮联调与代码审查</w:t>
            </w:r>
          </w:p>
        </w:tc>
        <w:tc>
          <w:tcPr>
            <w:tcW w:type="dxa" w:w="1100"/>
            <w:shd w:fill="FFF2C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部分完成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60%</w:t>
            </w:r>
          </w:p>
        </w:tc>
        <w:tc>
          <w:tcPr>
            <w:tcW w:type="dxa" w:w="54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两轮记录与 Smoke 完成；四类正式适配器仍 BLOCK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周验收与第三周规划</w:t>
            </w:r>
          </w:p>
        </w:tc>
        <w:tc>
          <w:tcPr>
            <w:tcW w:type="dxa" w:w="1100"/>
            <w:shd w:fill="FFF2CC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部分完成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70%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总结、错例报告和 Issue 完成；正式横向指标缺失</w:t>
            </w:r>
          </w:p>
        </w:tc>
      </w:tr>
    </w:tbl>
    <w:p>
      <w:pPr>
        <w:spacing w:after="80"/>
      </w:pPr>
    </w:p>
    <w:p>
      <w:pPr>
        <w:pStyle w:val="Heading1"/>
      </w:pPr>
      <w:r>
        <w:t>3. 统一仓库与工程治理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公开仓库保留 Git 历史，用清理提交移除未分区的 FinRegAgents 外部代码快照。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上传项目计划、第一周成员交付和第二周任务表；排除原始赛题附件、报名材料、密钥和缓存。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建立 configs、data、index、baselines、evaluation、outputs、schemas、src、tests、docs 单一主工程。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运行只使用仓库相对路径；配置记录数据、模型、预算、随机种子和方法状态。</w:t>
      </w:r>
    </w:p>
    <w:p>
      <w:pPr>
        <w:pStyle w:val="Heading1"/>
      </w:pPr>
      <w:r>
        <w:t>4. 接口契约 V1.0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职责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关键不变量</w:t>
            </w:r>
          </w:p>
        </w:tc>
      </w:tr>
      <w:tr>
        <w:trPr>
          <w:cantSplit/>
        </w:trPr>
        <w:tc>
          <w:tcPr>
            <w:tcW w:type="dxa" w:w="17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QueryPlan</w:t>
            </w:r>
          </w:p>
        </w:tc>
        <w:tc>
          <w:tcPr>
            <w:tcW w:type="dxa" w:w="27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问题槽位与检索计划</w:t>
            </w:r>
          </w:p>
        </w:tc>
        <w:tc>
          <w:tcPr>
            <w:tcW w:type="dxa" w:w="49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路由非空；最大 1–3 跳；未知字段拒绝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EvidenceRecord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唯一公共证据单元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保留来源与定位；auto_checked 不等于 verified</w:t>
            </w:r>
          </w:p>
        </w:tc>
      </w:tr>
      <w:tr>
        <w:trPr>
          <w:cantSplit/>
        </w:trPr>
        <w:tc>
          <w:tcPr>
            <w:tcW w:type="dxa" w:w="17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AnswerResponse</w:t>
            </w:r>
          </w:p>
        </w:tc>
        <w:tc>
          <w:tcPr>
            <w:tcW w:type="dxa" w:w="27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统一答案状态与引用</w:t>
            </w:r>
          </w:p>
        </w:tc>
        <w:tc>
          <w:tcPr>
            <w:tcW w:type="dxa" w:w="49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answered 必须有答案、证据和 Citation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TraceRecord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记录检索到验证的步骤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输入/输出引用、状态、耗时、Token 和成本可审计</w:t>
            </w:r>
          </w:p>
        </w:tc>
      </w:tr>
    </w:tbl>
    <w:p>
      <w:pPr>
        <w:spacing w:after="80"/>
      </w:pPr>
    </w:p>
    <w:p>
      <w:r>
        <w:t>代码模型位于 src/regrag/contracts.py，公开 JSON Schema 位于 schemas/。BaselineRunResult 进一步绑定方法版本、配置哈希、EvidenceStore、评测集、随机种子、Top-K、AnswerResponse、TraceRecord 和效率指标。</w:t>
      </w:r>
    </w:p>
    <w:p>
      <w:pPr>
        <w:pStyle w:val="Heading1"/>
      </w:pPr>
      <w:r>
        <w:t>5. Baseline 公平比较协议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冻结要求</w:t>
            </w:r>
          </w:p>
        </w:tc>
      </w:tr>
      <w:tr>
        <w:trPr>
          <w:cantSplit/>
        </w:trPr>
        <w:tc>
          <w:tcPr>
            <w:tcW w:type="dxa" w:w="1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数据</w:t>
            </w:r>
          </w:p>
        </w:tc>
        <w:tc>
          <w:tcPr>
            <w:tcW w:type="dxa" w:w="74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同一 corpus_manifest、EvidenceStore、排除/警告清单与 SHA-256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索引与模型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同一 BM25、BGE-M3、Metadata、Reranker 与生成 LLM 版本</w:t>
            </w:r>
          </w:p>
        </w:tc>
      </w:tr>
      <w:tr>
        <w:trPr>
          <w:cantSplit/>
        </w:trPr>
        <w:tc>
          <w:tcPr>
            <w:tcW w:type="dxa" w:w="1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预算</w:t>
            </w:r>
          </w:p>
        </w:tc>
        <w:tc>
          <w:tcPr>
            <w:tcW w:type="dxa" w:w="74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初召回 Top-20、重排 Top-10；HiREC/RegRAG 最多一次补查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评测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CoreEval-80、RetrievalGold-40、拒答/澄清子集、随机种子 42</w:t>
            </w:r>
          </w:p>
        </w:tc>
      </w:tr>
      <w:tr>
        <w:trPr>
          <w:cantSplit/>
        </w:trPr>
        <w:tc>
          <w:tcPr>
            <w:tcW w:type="dxa" w:w="1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指标</w:t>
            </w:r>
          </w:p>
        </w:tc>
        <w:tc>
          <w:tcPr>
            <w:tcW w:type="dxa" w:w="74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Recall@5/10、nDCG@10、Citation Hit、准确率、P50/P95、Token、成本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结论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主结论只使用受控协议；论文原生设置单独报告</w:t>
            </w:r>
          </w:p>
        </w:tc>
      </w:tr>
    </w:tbl>
    <w:p>
      <w:pPr>
        <w:spacing w:after="80"/>
      </w:pPr>
    </w:p>
    <w:p>
      <w:pPr>
        <w:pStyle w:val="Heading1"/>
      </w:pPr>
      <w:r>
        <w:t>6. 两轮联调与代码审查</w:t>
      </w:r>
    </w:p>
    <w:p>
      <w:pPr>
        <w:pStyle w:val="Heading2"/>
      </w:pPr>
      <w:r>
        <w:t>6.1 第一轮：存量材料接入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FinRegAgents 参考包可通过 compileall，但测试收集因缺少 langchain_core、llama_index、dotenv 中断。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默认数据路径写死为 D:\code\金融\dataset，且未使用本项目 EvidenceRecord。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未见 BM25/Dense/RRF 的公平主链、20 题日志或四类统一结果。第一轮判定：BLOCK。</w:t>
      </w:r>
    </w:p>
    <w:p>
      <w:pPr>
        <w:pStyle w:val="Heading2"/>
      </w:pPr>
      <w:r>
        <w:t>6.2 第二轮：统一契约与 Smoke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检查项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6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自动化测试</w:t>
            </w:r>
          </w:p>
        </w:tc>
        <w:tc>
          <w:tcPr>
            <w:tcW w:type="dxa" w:w="67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13 passed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EvidenceRecord 校验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128/128</w:t>
            </w:r>
          </w:p>
        </w:tc>
      </w:tr>
      <w:tr>
        <w:trPr>
          <w:cantSplit/>
        </w:trPr>
        <w:tc>
          <w:tcPr>
            <w:tcW w:type="dxa" w:w="26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Smoke Top-1</w:t>
            </w:r>
          </w:p>
        </w:tc>
        <w:tc>
          <w:tcPr>
            <w:tcW w:type="dxa" w:w="67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DOC-032-2ddfb401b298-CELL-001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引用位置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Sheet=各地区数据（月度）, Cell=C4</w:t>
            </w:r>
          </w:p>
        </w:tc>
      </w:tr>
      <w:tr>
        <w:trPr>
          <w:cantSplit/>
        </w:trPr>
        <w:tc>
          <w:tcPr>
            <w:tcW w:type="dxa" w:w="26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输出</w:t>
            </w:r>
          </w:p>
        </w:tc>
        <w:tc>
          <w:tcPr>
            <w:tcW w:type="dxa" w:w="67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全国合计 52145.77 亿元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Evidence Gate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warning：证据为 auto_checked</w:t>
            </w:r>
          </w:p>
        </w:tc>
      </w:tr>
      <w:tr>
        <w:trPr>
          <w:cantSplit/>
        </w:trPr>
        <w:tc>
          <w:tcPr>
            <w:tcW w:type="dxa" w:w="26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 Token / 成本</w:t>
            </w:r>
          </w:p>
        </w:tc>
        <w:tc>
          <w:tcPr>
            <w:tcW w:type="dxa" w:w="67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 / 0（确定性模板，无 LLM）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/>
            <w:r>
              <w:rPr>
                <w:rFonts w:ascii="Arial" w:hAnsi="Arial" w:eastAsia="Microsoft YaHei"/>
                <w:b/>
                <w:color w:val="7F6000"/>
                <w:sz w:val="21"/>
              </w:rPr>
              <w:t>解释边界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1F2937"/>
                <w:sz w:val="20"/>
              </w:rPr>
              <w:t>本次 Smoke 只证明统一入口、引用和 Trace 能运行；样本规模为 128 条，不使用 Embedding、Reranker 或 LLM，不能外推正式 Recall、准确率或性能。</w:t>
            </w:r>
          </w:p>
        </w:tc>
      </w:tr>
    </w:tbl>
    <w:p>
      <w:pPr>
        <w:spacing w:after="40"/>
      </w:pPr>
    </w:p>
    <w:p>
      <w:pPr>
        <w:pStyle w:val="Heading1"/>
      </w:pPr>
      <w:r>
        <w:t>7. Baseline 状态与主要错例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6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方法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状态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阻塞原因</w:t>
            </w:r>
          </w:p>
        </w:tc>
      </w:tr>
      <w:tr>
        <w:trPr>
          <w:cantSplit/>
        </w:trPr>
        <w:tc>
          <w:tcPr>
            <w:tcW w:type="dxa" w:w="21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Hybrid</w:t>
            </w:r>
          </w:p>
        </w:tc>
        <w:tc>
          <w:tcPr>
            <w:tcW w:type="dxa" w:w="1200"/>
            <w:shd w:fill="FCE4D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BLOCK</w:t>
            </w:r>
          </w:p>
        </w:tc>
        <w:tc>
          <w:tcPr>
            <w:tcW w:type="dxa" w:w="60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缺统一 BM25+Dense+RRF+Reranker 适配器与 20 题日志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FinSage-Adapted</w:t>
            </w:r>
          </w:p>
        </w:tc>
        <w:tc>
          <w:tcPr>
            <w:tcW w:type="dxa" w:w="1200"/>
            <w:shd w:fill="FCE4D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BLOCK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缺去场景硬编码的多路径检索实现与日志</w:t>
            </w:r>
          </w:p>
        </w:tc>
      </w:tr>
      <w:tr>
        <w:trPr>
          <w:cantSplit/>
        </w:trPr>
        <w:tc>
          <w:tcPr>
            <w:tcW w:type="dxa" w:w="21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RegulatoryRAG-ML</w:t>
            </w:r>
          </w:p>
        </w:tc>
        <w:tc>
          <w:tcPr>
            <w:tcW w:type="dxa" w:w="1200"/>
            <w:shd w:fill="FCE4D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BLOCK</w:t>
            </w:r>
          </w:p>
        </w:tc>
        <w:tc>
          <w:tcPr>
            <w:tcW w:type="dxa" w:w="606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缺监管特征、Score Filter、引用和拒答分支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HiREC-Lite</w:t>
            </w:r>
          </w:p>
        </w:tc>
        <w:tc>
          <w:tcPr>
            <w:tcW w:type="dxa" w:w="1200"/>
            <w:shd w:fill="FCE4D6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BLOCK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缺分层检索、完整性判断和单次补查 Trace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16 条样例证据的单位为“亿元、%”，金额与增长率无法直接区分。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部分文件标题含月份，但 table_semantics.period 只有年份；期间粒度丢失。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同一年度部分 Header Path 未继承年份；3 份旧版 DOC 需人工核验。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当前 Evidence 为 auto_checked，尚无人工 reviewer 闭环。</w:t>
      </w:r>
    </w:p>
    <w:p>
      <w:pPr>
        <w:pStyle w:val="Heading1"/>
      </w:pPr>
      <w:r>
        <w:t>8. 第三周 RegRAG Agent Issue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50"/>
        <w:gridCol w:w="1500"/>
        <w:gridCol w:w="900"/>
        <w:gridCol w:w="49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Issue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优先级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负责人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截止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4E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W3-P0-01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罗佳佳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07-31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修复单位/Header Path/期间；16 份 PoC 有 reviewer 与结论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罗佳佳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07-31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全量 EvidenceStore 与 BM25/BGE-M3/Metadata 可重建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W3-P0-03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杨怡睿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08-01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冻结 CoreEval-80、Gold-40、拒答/澄清子集与 qrels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程仁杰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07-31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Hybrid 统一入口跑 20 题，输出答案、引用、Trace、P50/P95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W3-P0-05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陈伦禄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07-31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建立契约、测试、配置哈希、许可证和敏感信息门禁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程仁杰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08-01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FinSage 无场景硬编码，声明 HyDE，共享预算并有日志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W3-P1-07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程仁杰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08-02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RegulatoryRAG 输出特征、Filter、引用和证据不足分支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W3-P1-08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程仁杰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08-02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HiREC 最多一次补查，额外 Token/延迟单列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W3-P0-09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陈伦禄/杨怡睿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08-02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运行四方法主公平对比并报告质量、可信、延迟与成本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陈伦禄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08-03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实现 Router、Gate、工具、单次多跳和自核的受控主链</w:t>
            </w:r>
          </w:p>
        </w:tc>
      </w:tr>
      <w:tr>
        <w:trPr>
          <w:cantSplit/>
        </w:trPr>
        <w:tc>
          <w:tcPr>
            <w:tcW w:type="dxa" w:w="12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W3-P0-11</w:t>
            </w:r>
          </w:p>
        </w:tc>
        <w:tc>
          <w:tcPr>
            <w:tcW w:type="dxa" w:w="85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5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全员</w:t>
            </w:r>
          </w:p>
        </w:tc>
        <w:tc>
          <w:tcPr>
            <w:tcW w:type="dxa" w:w="90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08-03</w:t>
            </w:r>
          </w:p>
        </w:tc>
        <w:tc>
          <w:tcPr>
            <w:tcW w:type="dxa" w:w="4910"/>
            <w:shd w:fill="F5F9FD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所有 P0 有下载产物、复现命令、负责人结论和风险</w:t>
            </w:r>
          </w:p>
        </w:tc>
      </w:tr>
    </w:tbl>
    <w:p>
      <w:pPr>
        <w:spacing w:after="80"/>
      </w:pPr>
    </w:p>
    <w:p>
      <w:pPr>
        <w:pStyle w:val="Heading1"/>
      </w:pPr>
      <w:r>
        <w:t>9. 最终结论</w:t>
      </w:r>
    </w:p>
    <w:p>
      <w:pPr>
        <w:keepLines/>
      </w:pPr>
      <w:r>
        <w:t>陈伦禄负责的统一仓库、接口契约和公平协议已经完成并通过自动化验证；两轮联调、代码审查、初测报告和第三周 Issue 已形成。第二周“四类 Baseline 跑通”未达到验收标准，原因是全量 EvidenceStore、冻结评测集和四类适配器未交付。第三周不得在这些前置项仍为 BLOCK 时直接堆叠完整多 Agent。</w:t>
      </w:r>
    </w:p>
    <w:p>
      <w:pPr>
        <w:pStyle w:val="Heading1"/>
      </w:pPr>
      <w:r>
        <w:t>附录：核心交付路径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README.md：统一入口与项目状态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docs/contracts/：接口契约与公平比较协议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docs/reviews/：两轮联调与代码审查记录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docs/reports/：Baseline 初测与第二周总结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docs/issues/：第三周 RegRAG Agent Issue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outputs/smoke/contract_smoke_result.json：可复现 Smoke 结果</w:t>
      </w:r>
    </w:p>
    <w:p>
      <w:pPr>
        <w:pStyle w:val="ListBullet"/>
      </w:pPr>
      <w:r>
        <w:rPr>
          <w:rFonts w:ascii="Arial" w:hAnsi="Arial" w:eastAsia="Microsoft YaHei"/>
          <w:color w:val="1F2937"/>
          <w:sz w:val="21"/>
        </w:rPr>
        <w:t>docs/progress/week2/可信RegRAG_第二周验收状态_陈伦禄.xlsx：验收状态副本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9636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596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7DBE2"/>
      </w:pBdr>
    </w:pPr>
    <w:r>
      <w:rPr>
        <w:rFonts w:ascii="Arial" w:hAnsi="Arial" w:eastAsia="Microsoft YaHei"/>
        <w:b/>
        <w:color w:val="59636E"/>
        <w:sz w:val="17"/>
      </w:rPr>
      <w:t>可信 RegRAG｜第二周工作结果交付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9636E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可信 RegRAG 第二周工作结果交付</dc:title>
  <dc:subject>统一仓库、接口契约、联调审查与第三周计划</dc:subject>
  <dc:creator>陈伦禄</dc:creator>
  <cp:keywords>RegRAG, Baseline, EvidenceRecord, 金融科技创新大赛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