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jc w:val="center"/>
      </w:pPr>
      <w:r>
        <w:rPr>
          <w:rFonts w:ascii="Noto Sans CJK SC" w:hAnsi="Noto Sans CJK SC" w:eastAsia="Noto Sans CJK SC"/>
          <w:b/>
          <w:i w:val="0"/>
          <w:color w:val="17365D"/>
          <w:sz w:val="34"/>
        </w:rPr>
        <w:t>第五届中国研究生金融科技创新大赛</w:t>
      </w:r>
    </w:p>
    <w:p>
      <w:pPr>
        <w:spacing w:after="160"/>
        <w:jc w:val="center"/>
      </w:pPr>
      <w:r>
        <w:rPr>
          <w:rFonts w:ascii="Noto Sans CJK SC" w:hAnsi="Noto Sans CJK SC" w:eastAsia="Noto Sans CJK SC"/>
          <w:b/>
          <w:i w:val="0"/>
          <w:color w:val="17365D"/>
          <w:sz w:val="50"/>
        </w:rPr>
        <w:t>可信 RegRAG</w:t>
      </w:r>
    </w:p>
    <w:p>
      <w:pPr>
        <w:spacing w:after="160"/>
        <w:jc w:val="center"/>
      </w:pPr>
      <w:r>
        <w:rPr>
          <w:rFonts w:ascii="Noto Serif CJK SC" w:hAnsi="Noto Serif CJK SC" w:eastAsia="Noto Serif CJK SC"/>
          <w:b w:val="0"/>
          <w:i w:val="0"/>
          <w:color w:val="4A5A6A"/>
          <w:sz w:val="32"/>
        </w:rPr>
        <w:t>银行监管制度与统计报表可信问答</w:t>
      </w:r>
    </w:p>
    <w:p/>
    <w:p/>
    <w:p>
      <w:pPr>
        <w:spacing w:after="160"/>
        <w:jc w:val="center"/>
      </w:pPr>
      <w:r>
        <w:rPr>
          <w:rFonts w:ascii="Noto Sans CJK SC" w:hAnsi="Noto Sans CJK SC" w:eastAsia="Noto Sans CJK SC"/>
          <w:b/>
          <w:i w:val="0"/>
          <w:color w:val="17365D"/>
          <w:sz w:val="44"/>
        </w:rPr>
        <w:t>第一周工作结果交付</w:t>
      </w:r>
    </w:p>
    <w:p>
      <w:pPr>
        <w:spacing w:after="160"/>
        <w:jc w:val="center"/>
      </w:pPr>
      <w:r>
        <w:rPr>
          <w:rFonts w:ascii="Noto Serif CJK SC" w:hAnsi="Noto Serif CJK SC" w:eastAsia="Noto Serif CJK SC"/>
          <w:b w:val="0"/>
          <w:i w:val="0"/>
          <w:color w:val="4A5A6A"/>
          <w:sz w:val="26"/>
        </w:rPr>
        <w:t>队长：陈伦禄</w:t>
      </w:r>
    </w:p>
    <w:p>
      <w:pPr>
        <w:spacing w:after="160"/>
        <w:jc w:val="center"/>
      </w:pPr>
      <w:r>
        <w:rPr>
          <w:rFonts w:ascii="Noto Serif CJK SC" w:hAnsi="Noto Serif CJK SC" w:eastAsia="Noto Serif CJK SC"/>
          <w:b w:val="0"/>
          <w:i w:val="0"/>
          <w:color w:val="4A5A6A"/>
          <w:sz w:val="22"/>
        </w:rPr>
        <w:t>版本：V1.0</w:t>
      </w:r>
    </w:p>
    <w:p>
      <w:pPr>
        <w:spacing w:after="160"/>
        <w:jc w:val="center"/>
      </w:pPr>
      <w:r>
        <w:rPr>
          <w:rFonts w:ascii="Noto Serif CJK SC" w:hAnsi="Noto Serif CJK SC" w:eastAsia="Noto Serif CJK SC"/>
          <w:b w:val="0"/>
          <w:i w:val="0"/>
          <w:color w:val="4A5A6A"/>
          <w:sz w:val="22"/>
        </w:rPr>
        <w:t>日期：2026 年 7 月 21 日</w:t>
      </w:r>
    </w:p>
    <w:p/>
    <w:p/>
    <w:p/>
    <w:tbl>
      <w:tblPr>
        <w:tblW w:type="auto" w:w="0"/>
        <w:jc w:val="center"/>
        <w:tblLook w:firstColumn="1" w:firstRow="1" w:lastColumn="0" w:lastRow="0" w:noHBand="0" w:noVBand="1" w:val="04A0"/>
      </w:tblPr>
      <w:tblGrid>
        <w:gridCol w:w="9972"/>
      </w:tblGrid>
      <w:tr>
        <w:tc>
          <w:tcPr>
            <w:tcW w:type="dxa" w:w="9972"/>
            <w:shd w:fill="D9EAF7"/>
            <w:tcMar>
              <w:top w:w="140" w:type="dxa"/>
              <w:start w:w="160" w:type="dxa"/>
              <w:bottom w:w="140" w:type="dxa"/>
              <w:end w:w="160" w:type="dxa"/>
            </w:tcMar>
          </w:tcPr>
          <w:p>
            <w:pPr>
              <w:spacing w:after="60"/>
            </w:pPr>
            <w:r/>
            <w:r>
              <w:rPr>
                <w:rFonts w:ascii="Noto Sans CJK SC" w:hAnsi="Noto Sans CJK SC" w:eastAsia="Noto Sans CJK SC"/>
                <w:b/>
                <w:i w:val="0"/>
                <w:color w:val="17365D"/>
                <w:sz w:val="22"/>
              </w:rPr>
              <w:t>交付声明</w:t>
            </w:r>
          </w:p>
          <w:p>
            <w:pPr>
              <w:spacing w:after="0" w:line="276" w:lineRule="auto"/>
            </w:pPr>
            <w:r>
              <w:rPr>
                <w:rFonts w:ascii="Noto Serif CJK SC" w:hAnsi="Noto Serif CJK SC" w:eastAsia="Noto Serif CJK SC"/>
                <w:b w:val="0"/>
                <w:i w:val="0"/>
                <w:color w:val="1F1F1F"/>
                <w:sz w:val="20"/>
              </w:rPr>
              <w:t>本报告对照第一周工作安排，审查队员已提交的业务文档、评测集、数据底座与代码包，区分“已完成、部分完成、未完成”。报告补齐了本人负责的架构冻结、接口契约、第一周总结和第二周 Issue 清单，但不宣称端到端 Baseline 已经完成。</w:t>
            </w:r>
          </w:p>
        </w:tc>
      </w:tr>
    </w:tbl>
    <w:p>
      <w:pPr>
        <w:spacing w:after="40"/>
      </w:pPr>
    </w:p>
    <w:p>
      <w:r>
        <w:br w:type="page"/>
      </w:r>
    </w:p>
    <w:p>
      <w:pPr>
        <w:spacing w:before="280" w:after="140"/>
        <w:pBdr>
          <w:bottom w:val="single" w:sz="12" w:color="17365D"/>
        </w:pBdr>
      </w:pPr>
      <w:r>
        <w:rPr>
          <w:rFonts w:ascii="Noto Sans CJK SC" w:hAnsi="Noto Sans CJK SC" w:eastAsia="Noto Sans CJK SC"/>
          <w:b/>
          <w:i w:val="0"/>
          <w:color w:val="17365D"/>
          <w:sz w:val="32"/>
        </w:rPr>
        <w:t>摘要</w:t>
      </w:r>
    </w:p>
    <w:p>
      <w:pPr>
        <w:spacing w:line="293" w:lineRule="auto" w:after="80"/>
        <w:ind w:firstLine="420"/>
      </w:pPr>
      <w:r>
        <w:rPr>
          <w:rFonts w:ascii="Noto Serif CJK SC" w:hAnsi="Noto Serif CJK SC" w:eastAsia="Noto Serif CJK SC"/>
          <w:b w:val="0"/>
          <w:i w:val="0"/>
          <w:color w:val="1F1F1F"/>
          <w:sz w:val="21"/>
        </w:rPr>
        <w:t>第一周原定目标是完成业务场景冻结、数据与需求结构化、解析和 Baseline 的最小验证，并形成可进入第二周开发的统一架构与验收标准。经审查，业务场景、用户故事、验收标准、语料清点和 Evidence Schema 已形成较扎实的前期成果；但项目专用的在线问答 Baseline、统一代码仓库、端到端主入口和真实问答日志尚未形成。</w:t>
      </w:r>
    </w:p>
    <w:p>
      <w:pPr>
        <w:spacing w:line="293" w:lineRule="auto" w:after="80"/>
        <w:ind w:firstLine="420"/>
      </w:pPr>
      <w:r>
        <w:rPr>
          <w:rFonts w:ascii="Noto Serif CJK SC" w:hAnsi="Noto Serif CJK SC" w:eastAsia="Noto Serif CJK SC"/>
          <w:b w:val="0"/>
          <w:i w:val="0"/>
          <w:color w:val="1F1F1F"/>
          <w:sz w:val="21"/>
        </w:rPr>
        <w:t>本周团队已经具备“明确做什么、用什么数据、如何验收”的基础，但还没有具备“代码已经连通、指标已经可测”的工程状态。第二周必须优先完成 B1 BM25、B2 Dense、B3 Hybrid RRF 和统一 EvidenceRecord 的端到端联调，暂不进入复杂多 Agent 开发。</w:t>
      </w:r>
    </w:p>
    <w:tbl>
      <w:tblPr>
        <w:tblW w:type="auto" w:w="0"/>
        <w:jc w:val="center"/>
        <w:tblLook w:firstColumn="1" w:firstRow="1" w:lastColumn="0" w:lastRow="0" w:noHBand="0" w:noVBand="1" w:val="04A0"/>
      </w:tblPr>
      <w:tblGrid>
        <w:gridCol w:w="9972"/>
      </w:tblGrid>
      <w:tr>
        <w:tc>
          <w:tcPr>
            <w:tcW w:type="dxa" w:w="9972"/>
            <w:shd w:fill="FFF2CC"/>
            <w:tcMar>
              <w:top w:w="140" w:type="dxa"/>
              <w:start w:w="160" w:type="dxa"/>
              <w:bottom w:w="140" w:type="dxa"/>
              <w:end w:w="160" w:type="dxa"/>
            </w:tcMar>
          </w:tcPr>
          <w:p>
            <w:pPr>
              <w:spacing w:after="60"/>
            </w:pPr>
            <w:r/>
            <w:r>
              <w:rPr>
                <w:rFonts w:ascii="Noto Sans CJK SC" w:hAnsi="Noto Sans CJK SC" w:eastAsia="Noto Sans CJK SC"/>
                <w:b/>
                <w:i w:val="0"/>
                <w:color w:val="17365D"/>
                <w:sz w:val="22"/>
              </w:rPr>
              <w:t>总体结论</w:t>
            </w:r>
          </w:p>
          <w:p>
            <w:pPr>
              <w:spacing w:after="0" w:line="276" w:lineRule="auto"/>
            </w:pPr>
            <w:r>
              <w:rPr>
                <w:rFonts w:ascii="Noto Serif CJK SC" w:hAnsi="Noto Serif CJK SC" w:eastAsia="Noto Serif CJK SC"/>
                <w:b w:val="0"/>
                <w:i w:val="0"/>
                <w:color w:val="1F1F1F"/>
                <w:sz w:val="20"/>
              </w:rPr>
              <w:t>需求与业务层：可验收；数据底座：条件通过；评测集：可用但需清洗；项目专用 Baseline：未通过；端到端集成：未完成。</w:t>
            </w:r>
          </w:p>
        </w:tc>
      </w:tr>
    </w:tbl>
    <w:p>
      <w:pPr>
        <w:spacing w:after="40"/>
      </w:pP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835"/>
            <w:vAlign w:val="center"/>
            <w:tcMar>
              <w:top w:w="80" w:type="dxa"/>
              <w:start w:w="90" w:type="dxa"/>
              <w:bottom w:w="80" w:type="dxa"/>
              <w:end w:w="90" w:type="dxa"/>
            </w:tcMar>
            <w:shd w:fill="17365D"/>
          </w:tcPr>
          <w:p>
            <w:pPr>
              <w:spacing w:after="0" w:line="252" w:lineRule="auto"/>
              <w:jc w:val="center"/>
            </w:pPr>
            <w:r/>
            <w:r>
              <w:rPr>
                <w:rFonts w:ascii="Noto Serif CJK SC" w:hAnsi="Noto Serif CJK SC" w:eastAsia="Noto Serif CJK SC"/>
                <w:b/>
                <w:i w:val="0"/>
                <w:color w:val="FFFFFF"/>
                <w:sz w:val="18"/>
              </w:rPr>
              <w:t>模块</w:t>
            </w:r>
          </w:p>
        </w:tc>
        <w:tc>
          <w:tcPr>
            <w:tcW w:type="dxa" w:w="850"/>
            <w:vAlign w:val="center"/>
            <w:tcMar>
              <w:top w:w="80" w:type="dxa"/>
              <w:start w:w="90" w:type="dxa"/>
              <w:bottom w:w="80" w:type="dxa"/>
              <w:end w:w="90" w:type="dxa"/>
            </w:tcMar>
            <w:shd w:fill="17365D"/>
          </w:tcPr>
          <w:p>
            <w:pPr>
              <w:spacing w:after="0" w:line="252" w:lineRule="auto"/>
              <w:jc w:val="center"/>
            </w:pPr>
            <w:r/>
            <w:r>
              <w:rPr>
                <w:rFonts w:ascii="Noto Serif CJK SC" w:hAnsi="Noto Serif CJK SC" w:eastAsia="Noto Serif CJK SC"/>
                <w:b/>
                <w:i w:val="0"/>
                <w:color w:val="FFFFFF"/>
                <w:sz w:val="18"/>
              </w:rPr>
              <w:t>状态</w:t>
            </w:r>
          </w:p>
        </w:tc>
        <w:tc>
          <w:tcPr>
            <w:tcW w:type="dxa" w:w="5669"/>
            <w:vAlign w:val="center"/>
            <w:tcMar>
              <w:top w:w="80" w:type="dxa"/>
              <w:start w:w="90" w:type="dxa"/>
              <w:bottom w:w="80" w:type="dxa"/>
              <w:end w:w="90" w:type="dxa"/>
            </w:tcMar>
            <w:shd w:fill="17365D"/>
          </w:tcPr>
          <w:p>
            <w:pPr>
              <w:spacing w:after="0" w:line="252" w:lineRule="auto"/>
              <w:jc w:val="center"/>
            </w:pPr>
            <w:r/>
            <w:r>
              <w:rPr>
                <w:rFonts w:ascii="Noto Serif CJK SC" w:hAnsi="Noto Serif CJK SC" w:eastAsia="Noto Serif CJK SC"/>
                <w:b/>
                <w:i w:val="0"/>
                <w:color w:val="FFFFFF"/>
                <w:sz w:val="18"/>
              </w:rPr>
              <w:t>审查结论</w:t>
            </w:r>
          </w:p>
        </w:tc>
      </w:tr>
      <w:tr>
        <w:trPr>
          <w:cantSplit/>
        </w:trPr>
        <w:tc>
          <w:tcPr>
            <w:tcW w:type="dxa" w:w="283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8"/>
              </w:rPr>
              <w:t>业务场景与用户需求</w:t>
            </w:r>
          </w:p>
        </w:tc>
        <w:tc>
          <w:tcPr>
            <w:tcW w:type="dxa" w:w="85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8"/>
              </w:rPr>
              <w:t>绿</w:t>
            </w:r>
          </w:p>
        </w:tc>
        <w:tc>
          <w:tcPr>
            <w:tcW w:type="dxa" w:w="566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8"/>
              </w:rPr>
              <w:t>三个场景、11 条用户故事已形成，能够指导功能开发。</w:t>
            </w:r>
          </w:p>
        </w:tc>
      </w:tr>
      <w:tr>
        <w:trPr>
          <w:cantSplit/>
        </w:trPr>
        <w:tc>
          <w:tcPr>
            <w:tcW w:type="dxa" w:w="283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8"/>
              </w:rPr>
              <w:t>验收标准与评测准备</w:t>
            </w:r>
          </w:p>
        </w:tc>
        <w:tc>
          <w:tcPr>
            <w:tcW w:type="dxa" w:w="85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8"/>
              </w:rPr>
              <w:t>黄</w:t>
            </w:r>
          </w:p>
        </w:tc>
        <w:tc>
          <w:tcPr>
            <w:tcW w:type="dxa" w:w="566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8"/>
              </w:rPr>
              <w:t>验收表完整；323 道题量充足，但重复、类型缺失和证据粒度问题需修订。</w:t>
            </w:r>
          </w:p>
        </w:tc>
      </w:tr>
      <w:tr>
        <w:trPr>
          <w:cantSplit/>
        </w:trPr>
        <w:tc>
          <w:tcPr>
            <w:tcW w:type="dxa" w:w="283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8"/>
              </w:rPr>
              <w:t>数据清点与解析 PoC</w:t>
            </w:r>
          </w:p>
        </w:tc>
        <w:tc>
          <w:tcPr>
            <w:tcW w:type="dxa" w:w="85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8"/>
              </w:rPr>
              <w:t>黄</w:t>
            </w:r>
          </w:p>
        </w:tc>
        <w:tc>
          <w:tcPr>
            <w:tcW w:type="dxa" w:w="566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8"/>
              </w:rPr>
              <w:t>500 份文件已清点，16 份 PoC 可运行；仍需人工语义验收和全量证据库。</w:t>
            </w:r>
          </w:p>
        </w:tc>
      </w:tr>
      <w:tr>
        <w:trPr>
          <w:cantSplit/>
        </w:trPr>
        <w:tc>
          <w:tcPr>
            <w:tcW w:type="dxa" w:w="283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8"/>
              </w:rPr>
              <w:t>项目专用检索 Baseline</w:t>
            </w:r>
          </w:p>
        </w:tc>
        <w:tc>
          <w:tcPr>
            <w:tcW w:type="dxa" w:w="85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8"/>
              </w:rPr>
              <w:t>红</w:t>
            </w:r>
          </w:p>
        </w:tc>
        <w:tc>
          <w:tcPr>
            <w:tcW w:type="dxa" w:w="566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8"/>
              </w:rPr>
              <w:t>未见本项目 B1/B2/B3 的运行结果、Top-K 日志和对比指标。</w:t>
            </w:r>
          </w:p>
        </w:tc>
      </w:tr>
      <w:tr>
        <w:trPr>
          <w:cantSplit/>
        </w:trPr>
        <w:tc>
          <w:tcPr>
            <w:tcW w:type="dxa" w:w="283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8"/>
              </w:rPr>
              <w:t>统一代码仓库与主入口</w:t>
            </w:r>
          </w:p>
        </w:tc>
        <w:tc>
          <w:tcPr>
            <w:tcW w:type="dxa" w:w="85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8"/>
              </w:rPr>
              <w:t>红</w:t>
            </w:r>
          </w:p>
        </w:tc>
        <w:tc>
          <w:tcPr>
            <w:tcW w:type="dxa" w:w="566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8"/>
              </w:rPr>
              <w:t>解析包与在线代码包尚未集成，缺少一条命令运行的主入口。</w:t>
            </w:r>
          </w:p>
        </w:tc>
      </w:tr>
      <w:tr>
        <w:trPr>
          <w:cantSplit/>
        </w:trPr>
        <w:tc>
          <w:tcPr>
            <w:tcW w:type="dxa" w:w="283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8"/>
              </w:rPr>
              <w:t>项目书与参赛材料</w:t>
            </w:r>
          </w:p>
        </w:tc>
        <w:tc>
          <w:tcPr>
            <w:tcW w:type="dxa" w:w="85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8"/>
              </w:rPr>
              <w:t>黄</w:t>
            </w:r>
          </w:p>
        </w:tc>
        <w:tc>
          <w:tcPr>
            <w:tcW w:type="dxa" w:w="566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8"/>
              </w:rPr>
              <w:t>V1 有基础内容，但 V1.1、术语统一表和报名状态尚未完整验收。</w:t>
            </w:r>
          </w:p>
        </w:tc>
      </w:tr>
    </w:tbl>
    <w:p>
      <w:pPr>
        <w:spacing w:after="40"/>
      </w:pPr>
    </w:p>
    <w:p>
      <w:r>
        <w:br w:type="page"/>
      </w:r>
    </w:p>
    <w:p>
      <w:pPr>
        <w:spacing w:before="280" w:after="140"/>
        <w:pBdr>
          <w:bottom w:val="single" w:sz="12" w:color="17365D"/>
        </w:pBdr>
      </w:pPr>
      <w:r>
        <w:rPr>
          <w:rFonts w:ascii="Noto Sans CJK SC" w:hAnsi="Noto Sans CJK SC" w:eastAsia="Noto Sans CJK SC"/>
          <w:b/>
          <w:i w:val="0"/>
          <w:color w:val="17365D"/>
          <w:sz w:val="32"/>
        </w:rPr>
        <w:t>1 审查范围与验收依据</w:t>
      </w:r>
    </w:p>
    <w:p>
      <w:pPr>
        <w:spacing w:line="293" w:lineRule="auto" w:after="80"/>
        <w:ind w:firstLine="420"/>
      </w:pPr>
      <w:r>
        <w:rPr>
          <w:rFonts w:ascii="Noto Serif CJK SC" w:hAnsi="Noto Serif CJK SC" w:eastAsia="Noto Serif CJK SC"/>
          <w:b w:val="0"/>
          <w:i w:val="0"/>
          <w:color w:val="1F1F1F"/>
          <w:sz w:val="21"/>
        </w:rPr>
        <w:t>本次审查以《可信 RegRAG 第一周工作安排》中的交付物和验收标准为基准，对队员提交材料进行内容、可执行性、与赛题匹配度及工程可复现性检查。工作安排将陈伦禄的职责划分为项目协调、技术架构、代码协同和周验收四类，并要求形成业务场景确认稿、架构与接口说明、统一仓库/主入口、第一周总结和第二周 Issue。</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247"/>
            <w:vAlign w:val="center"/>
            <w:tcMar>
              <w:top w:w="80" w:type="dxa"/>
              <w:start w:w="90" w:type="dxa"/>
              <w:bottom w:w="80" w:type="dxa"/>
              <w:end w:w="90" w:type="dxa"/>
            </w:tcMar>
            <w:shd w:fill="17365D"/>
          </w:tcPr>
          <w:p>
            <w:pPr>
              <w:spacing w:after="0" w:line="252" w:lineRule="auto"/>
              <w:jc w:val="center"/>
            </w:pPr>
            <w:r/>
            <w:r>
              <w:rPr>
                <w:rFonts w:ascii="Noto Serif CJK SC" w:hAnsi="Noto Serif CJK SC" w:eastAsia="Noto Serif CJK SC"/>
                <w:b/>
                <w:i w:val="0"/>
                <w:color w:val="FFFFFF"/>
                <w:sz w:val="17"/>
              </w:rPr>
              <w:t>人员</w:t>
            </w:r>
          </w:p>
        </w:tc>
        <w:tc>
          <w:tcPr>
            <w:tcW w:type="dxa" w:w="3969"/>
            <w:vAlign w:val="center"/>
            <w:tcMar>
              <w:top w:w="80" w:type="dxa"/>
              <w:start w:w="90" w:type="dxa"/>
              <w:bottom w:w="80" w:type="dxa"/>
              <w:end w:w="90" w:type="dxa"/>
            </w:tcMar>
            <w:shd w:fill="17365D"/>
          </w:tcPr>
          <w:p>
            <w:pPr>
              <w:spacing w:after="0" w:line="252" w:lineRule="auto"/>
              <w:jc w:val="center"/>
            </w:pPr>
            <w:r/>
            <w:r>
              <w:rPr>
                <w:rFonts w:ascii="Noto Serif CJK SC" w:hAnsi="Noto Serif CJK SC" w:eastAsia="Noto Serif CJK SC"/>
                <w:b/>
                <w:i w:val="0"/>
                <w:color w:val="FFFFFF"/>
                <w:sz w:val="17"/>
              </w:rPr>
              <w:t>审查材料</w:t>
            </w:r>
          </w:p>
        </w:tc>
        <w:tc>
          <w:tcPr>
            <w:tcW w:type="dxa" w:w="3969"/>
            <w:vAlign w:val="center"/>
            <w:tcMar>
              <w:top w:w="80" w:type="dxa"/>
              <w:start w:w="90" w:type="dxa"/>
              <w:bottom w:w="80" w:type="dxa"/>
              <w:end w:w="90" w:type="dxa"/>
            </w:tcMar>
            <w:shd w:fill="17365D"/>
          </w:tcPr>
          <w:p>
            <w:pPr>
              <w:spacing w:after="0" w:line="252" w:lineRule="auto"/>
              <w:jc w:val="center"/>
            </w:pPr>
            <w:r/>
            <w:r>
              <w:rPr>
                <w:rFonts w:ascii="Noto Serif CJK SC" w:hAnsi="Noto Serif CJK SC" w:eastAsia="Noto Serif CJK SC"/>
                <w:b/>
                <w:i w:val="0"/>
                <w:color w:val="FFFFFF"/>
                <w:sz w:val="17"/>
              </w:rPr>
              <w:t>主要用途</w:t>
            </w:r>
          </w:p>
        </w:tc>
      </w:tr>
      <w:tr>
        <w:trPr>
          <w:cantSplit/>
        </w:trPr>
        <w:tc>
          <w:tcPr>
            <w:tcW w:type="dxa" w:w="1247"/>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陈伦禄</w:t>
            </w:r>
          </w:p>
        </w:tc>
        <w:tc>
          <w:tcPr>
            <w:tcW w:type="dxa" w:w="396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文献调研与 Baseline 建设方案 V1.0</w:t>
            </w:r>
          </w:p>
        </w:tc>
        <w:tc>
          <w:tcPr>
            <w:tcW w:type="dxa" w:w="396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文献、Baseline 路线、主架构和 Evidence Schema 建议</w:t>
            </w:r>
          </w:p>
        </w:tc>
      </w:tr>
      <w:tr>
        <w:trPr>
          <w:cantSplit/>
        </w:trPr>
        <w:tc>
          <w:tcPr>
            <w:tcW w:type="dxa" w:w="1247"/>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李静雯</w:t>
            </w:r>
          </w:p>
        </w:tc>
        <w:tc>
          <w:tcPr>
            <w:tcW w:type="dxa" w:w="396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三个核心业务场景详细说明；用户故事</w:t>
            </w:r>
          </w:p>
        </w:tc>
        <w:tc>
          <w:tcPr>
            <w:tcW w:type="dxa" w:w="396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业务角色、现有流程、系统介入、价值指标和功能用例</w:t>
            </w:r>
          </w:p>
        </w:tc>
      </w:tr>
      <w:tr>
        <w:trPr>
          <w:cantSplit/>
        </w:trPr>
        <w:tc>
          <w:tcPr>
            <w:tcW w:type="dxa" w:w="1247"/>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杨怡睿</w:t>
            </w:r>
          </w:p>
        </w:tc>
        <w:tc>
          <w:tcPr>
            <w:tcW w:type="dxa" w:w="396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三类业务场景验收表；323 道评测问题；知识库分析报告</w:t>
            </w:r>
          </w:p>
        </w:tc>
        <w:tc>
          <w:tcPr>
            <w:tcW w:type="dxa" w:w="396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验收条件、评测准备、语料分布与数据风险</w:t>
            </w:r>
          </w:p>
        </w:tc>
      </w:tr>
      <w:tr>
        <w:trPr>
          <w:cantSplit/>
        </w:trPr>
        <w:tc>
          <w:tcPr>
            <w:tcW w:type="dxa" w:w="1247"/>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罗佳佳</w:t>
            </w:r>
          </w:p>
        </w:tc>
        <w:tc>
          <w:tcPr>
            <w:tcW w:type="dxa" w:w="396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data_governance 代码包</w:t>
            </w:r>
          </w:p>
        </w:tc>
        <w:tc>
          <w:tcPr>
            <w:tcW w:type="dxa" w:w="396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500 文件清点、16 份解析 PoC、Evidence Schema、质量台账</w:t>
            </w:r>
          </w:p>
        </w:tc>
      </w:tr>
      <w:tr>
        <w:trPr>
          <w:cantSplit/>
        </w:trPr>
        <w:tc>
          <w:tcPr>
            <w:tcW w:type="dxa" w:w="1247"/>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程仁杰</w:t>
            </w:r>
          </w:p>
        </w:tc>
        <w:tc>
          <w:tcPr>
            <w:tcW w:type="dxa" w:w="396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finreg-agents 代码包</w:t>
            </w:r>
          </w:p>
        </w:tc>
        <w:tc>
          <w:tcPr>
            <w:tcW w:type="dxa" w:w="396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外部监管审计 Agent 参考工程，待判断是否适配本赛题</w:t>
            </w:r>
          </w:p>
        </w:tc>
      </w:tr>
      <w:tr>
        <w:trPr>
          <w:cantSplit/>
        </w:trPr>
        <w:tc>
          <w:tcPr>
            <w:tcW w:type="dxa" w:w="1247"/>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团队</w:t>
            </w:r>
          </w:p>
        </w:tc>
        <w:tc>
          <w:tcPr>
            <w:tcW w:type="dxa" w:w="396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第一周工作安排</w:t>
            </w:r>
          </w:p>
        </w:tc>
        <w:tc>
          <w:tcPr>
            <w:tcW w:type="dxa" w:w="396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任务、截止时间、交付物和周验收标准</w:t>
            </w:r>
          </w:p>
        </w:tc>
      </w:tr>
    </w:tbl>
    <w:p>
      <w:pPr>
        <w:spacing w:after="40"/>
      </w:pPr>
    </w:p>
    <w:p>
      <w:pPr>
        <w:spacing w:before="280" w:after="140"/>
        <w:pBdr>
          <w:bottom w:val="single" w:sz="12" w:color="17365D"/>
        </w:pBdr>
      </w:pPr>
      <w:r>
        <w:rPr>
          <w:rFonts w:ascii="Noto Sans CJK SC" w:hAnsi="Noto Sans CJK SC" w:eastAsia="Noto Sans CJK SC"/>
          <w:b/>
          <w:i w:val="0"/>
          <w:color w:val="17365D"/>
          <w:sz w:val="32"/>
        </w:rPr>
        <w:t>2 队员交付结果审查</w:t>
      </w:r>
    </w:p>
    <w:p>
      <w:pPr>
        <w:spacing w:before="200" w:after="100"/>
      </w:pPr>
      <w:r>
        <w:rPr>
          <w:rFonts w:ascii="Noto Sans CJK SC" w:hAnsi="Noto Sans CJK SC" w:eastAsia="Noto Sans CJK SC"/>
          <w:b/>
          <w:i w:val="0"/>
          <w:color w:val="17365D"/>
          <w:sz w:val="26"/>
        </w:rPr>
        <w:t>2.1 李静雯：业务场景与用户故事</w:t>
      </w:r>
    </w:p>
    <w:p>
      <w:pPr>
        <w:spacing w:line="293" w:lineRule="auto" w:after="80"/>
        <w:ind w:firstLine="420"/>
      </w:pPr>
      <w:r>
        <w:rPr>
          <w:rFonts w:ascii="Noto Serif CJK SC" w:hAnsi="Noto Serif CJK SC" w:eastAsia="Noto Serif CJK SC"/>
          <w:b w:val="0"/>
          <w:i w:val="0"/>
          <w:color w:val="1F1F1F"/>
          <w:sz w:val="21"/>
        </w:rPr>
        <w:t>《三个核心业务场景详细说明》按“角色—现有流程—输入输出—风险—系统介入—价值指标”展开，已经把老师提出的“谁在什么工作中遇到什么问题”落到了监管制度查询、统计报表取数和跨文件合规判断三个具体流程。单次查询、取数和判断的人工流程及证据要求描述清楚，可作为需求基线。</w:t>
      </w:r>
    </w:p>
    <w:p>
      <w:pPr>
        <w:spacing w:line="293" w:lineRule="auto" w:after="80"/>
        <w:ind w:firstLine="420"/>
      </w:pPr>
      <w:r>
        <w:rPr>
          <w:rFonts w:ascii="Noto Serif CJK SC" w:hAnsi="Noto Serif CJK SC" w:eastAsia="Noto Serif CJK SC"/>
          <w:b w:val="0"/>
          <w:i w:val="0"/>
          <w:color w:val="1F1F1F"/>
          <w:sz w:val="21"/>
        </w:rPr>
        <w:t>《用户故事》形成 11 个细分用例，覆盖定义、适用范围、流程、阈值、保存期限、禁止性规定、统计口径、单指标判断、多条件判断、异常拦截和评测复盘，能够直接转成功能需求和测试用例。</w:t>
      </w:r>
    </w:p>
    <w:p>
      <w:pPr>
        <w:pStyle w:val="ListBullet"/>
        <w:spacing w:after="40" w:line="269" w:lineRule="auto"/>
      </w:pPr>
      <w:r>
        <w:rPr>
          <w:rFonts w:ascii="Noto Serif CJK SC" w:hAnsi="Noto Serif CJK SC" w:eastAsia="Noto Serif CJK SC"/>
          <w:b w:val="0"/>
          <w:i w:val="0"/>
          <w:color w:val="1F1F1F"/>
          <w:sz w:val="20"/>
        </w:rPr>
        <w:t>验收结论：业务场景详细说明——通过；用户故事——通过但需范围分级。</w:t>
      </w:r>
    </w:p>
    <w:p>
      <w:pPr>
        <w:pStyle w:val="ListBullet"/>
        <w:spacing w:after="40" w:line="269" w:lineRule="auto"/>
      </w:pPr>
      <w:r>
        <w:rPr>
          <w:rFonts w:ascii="Noto Serif CJK SC" w:hAnsi="Noto Serif CJK SC" w:eastAsia="Noto Serif CJK SC"/>
          <w:b w:val="0"/>
          <w:i w:val="0"/>
          <w:color w:val="1F1F1F"/>
          <w:sz w:val="20"/>
        </w:rPr>
        <w:t>需修订：部分“本行实际值、单笔贷款业务数据”不在公开赛题语料中，应标注为模拟数据/后续扩展，第一版 MVP 优先回答公开监管制度和行业统计报表。</w:t>
      </w:r>
    </w:p>
    <w:p>
      <w:pPr>
        <w:pStyle w:val="ListBullet"/>
        <w:spacing w:after="40" w:line="269" w:lineRule="auto"/>
      </w:pPr>
      <w:r>
        <w:rPr>
          <w:rFonts w:ascii="Noto Serif CJK SC" w:hAnsi="Noto Serif CJK SC" w:eastAsia="Noto Serif CJK SC"/>
          <w:b w:val="0"/>
          <w:i w:val="0"/>
          <w:color w:val="1F1F1F"/>
          <w:sz w:val="20"/>
        </w:rPr>
        <w:t>需修订：10 秒、5 秒、30 秒等效率目标目前没有运行测试支撑，应改为预期目标，待第二周记录 P50/P95 延迟后再固化。</w:t>
      </w:r>
    </w:p>
    <w:p>
      <w:pPr>
        <w:pStyle w:val="ListBullet"/>
        <w:spacing w:after="40" w:line="269" w:lineRule="auto"/>
      </w:pPr>
      <w:r>
        <w:rPr>
          <w:rFonts w:ascii="Noto Serif CJK SC" w:hAnsi="Noto Serif CJK SC" w:eastAsia="Noto Serif CJK SC"/>
          <w:b w:val="0"/>
          <w:i w:val="0"/>
          <w:color w:val="1F1F1F"/>
          <w:sz w:val="20"/>
        </w:rPr>
        <w:t>项目书 V1.1 与术语统一表未见独立完成稿；现有 V1 仍有空缺章节和“彻底杜绝、完全透明”等过强表述，暂不验收。</w:t>
      </w:r>
    </w:p>
    <w:p>
      <w:pPr>
        <w:spacing w:before="200" w:after="100"/>
      </w:pPr>
      <w:r>
        <w:rPr>
          <w:rFonts w:ascii="Noto Sans CJK SC" w:hAnsi="Noto Sans CJK SC" w:eastAsia="Noto Sans CJK SC"/>
          <w:b/>
          <w:i w:val="0"/>
          <w:color w:val="17365D"/>
          <w:sz w:val="26"/>
        </w:rPr>
        <w:t>2.2 杨怡睿：验收表、评测集与知识库分析</w:t>
      </w:r>
    </w:p>
    <w:p>
      <w:pPr>
        <w:spacing w:line="293" w:lineRule="auto" w:after="80"/>
        <w:ind w:firstLine="420"/>
      </w:pPr>
      <w:r>
        <w:rPr>
          <w:rFonts w:ascii="Noto Serif CJK SC" w:hAnsi="Noto Serif CJK SC" w:eastAsia="Noto Serif CJK SC"/>
          <w:b w:val="0"/>
          <w:i w:val="0"/>
          <w:color w:val="1F1F1F"/>
          <w:sz w:val="21"/>
        </w:rPr>
        <w:t>三类业务场景验收表已经明确“必须返回、成功标准、错误条件、系统响应”，并将制度题拆到答案、条款、版本，将表格题拆到数值、单位、期间、指标、坐标，将跨文件题拆到制度证据、报表证据和判断链路，具备较强的可执行性。</w:t>
      </w:r>
    </w:p>
    <w:p>
      <w:pPr>
        <w:spacing w:line="293" w:lineRule="auto" w:after="80"/>
        <w:ind w:firstLine="420"/>
      </w:pPr>
      <w:r>
        <w:rPr>
          <w:rFonts w:ascii="Noto Serif CJK SC" w:hAnsi="Noto Serif CJK SC" w:eastAsia="Noto Serif CJK SC"/>
          <w:b w:val="0"/>
          <w:i w:val="0"/>
          <w:color w:val="1F1F1F"/>
          <w:sz w:val="21"/>
        </w:rPr>
        <w:t>评测问题初稿实际包含 323 道选择题，覆盖 100 道 Excel、96 道 Word、127 道 PDF；难度为简单 112、中等 109、困难 102，数量和难度分布较均衡。其主要问题是题型分布失衡：监管制度事实题 196 道，跨文件判断仅 5 道，缺少拒答/澄清题；30 组问题文本存在重复模板，最多重复 17 次；27 条 qa_type 为空；Excel 证据多为文件路径，尚未精确到 Sheet/Cell。</w:t>
      </w:r>
    </w:p>
    <w:p>
      <w:pPr>
        <w:spacing w:line="293" w:lineRule="auto" w:after="80"/>
        <w:ind w:firstLine="420"/>
      </w:pPr>
      <w:r>
        <w:rPr>
          <w:rFonts w:ascii="Noto Serif CJK SC" w:hAnsi="Noto Serif CJK SC" w:eastAsia="Noto Serif CJK SC"/>
          <w:b w:val="0"/>
          <w:i w:val="0"/>
          <w:color w:val="1F1F1F"/>
          <w:sz w:val="21"/>
        </w:rPr>
        <w:t>知识库分析报告对 500 份文件进行了规模、类型和时间维度描述，能够支持项目定位；但“成功提取 500/500、成功率 100%”只能解释为文件可打开或结构探测成功，不能等同于条款、单位、表头和语义全部正确。</w:t>
      </w:r>
    </w:p>
    <w:p>
      <w:pPr>
        <w:pStyle w:val="ListBullet"/>
        <w:spacing w:after="40" w:line="269" w:lineRule="auto"/>
      </w:pPr>
      <w:r>
        <w:rPr>
          <w:rFonts w:ascii="Noto Serif CJK SC" w:hAnsi="Noto Serif CJK SC" w:eastAsia="Noto Serif CJK SC"/>
          <w:b w:val="0"/>
          <w:i w:val="0"/>
          <w:color w:val="1F1F1F"/>
          <w:sz w:val="20"/>
        </w:rPr>
        <w:t>验收结论：验收表——通过；评测集——条件通过；知识库分析——通过但须修正“100%语义解析成功”的表述。</w:t>
      </w:r>
    </w:p>
    <w:p>
      <w:pPr>
        <w:pStyle w:val="ListBullet"/>
        <w:spacing w:after="40" w:line="269" w:lineRule="auto"/>
      </w:pPr>
      <w:r>
        <w:rPr>
          <w:rFonts w:ascii="Noto Serif CJK SC" w:hAnsi="Noto Serif CJK SC" w:eastAsia="Noto Serif CJK SC"/>
          <w:b w:val="0"/>
          <w:i w:val="0"/>
          <w:color w:val="1F1F1F"/>
          <w:sz w:val="20"/>
        </w:rPr>
        <w:t>评测集第二周需去重、补齐 qa_type、增加开放式答案和精确 qrels，并新增不少于 20 条拒答/澄清题。</w:t>
      </w:r>
    </w:p>
    <w:p>
      <w:pPr>
        <w:pStyle w:val="ListBullet"/>
        <w:spacing w:after="40" w:line="269" w:lineRule="auto"/>
      </w:pPr>
      <w:r>
        <w:rPr>
          <w:rFonts w:ascii="Noto Serif CJK SC" w:hAnsi="Noto Serif CJK SC" w:eastAsia="Noto Serif CJK SC"/>
          <w:b w:val="0"/>
          <w:i w:val="0"/>
          <w:color w:val="1F1F1F"/>
          <w:sz w:val="20"/>
        </w:rPr>
        <w:t>参赛报名检查表、报名状态和材料版本规范未在当前材料中提供，无法验收。</w:t>
      </w:r>
    </w:p>
    <w:p>
      <w:pPr>
        <w:spacing w:before="200" w:after="100"/>
      </w:pPr>
      <w:r>
        <w:rPr>
          <w:rFonts w:ascii="Noto Sans CJK SC" w:hAnsi="Noto Sans CJK SC" w:eastAsia="Noto Sans CJK SC"/>
          <w:b/>
          <w:i w:val="0"/>
          <w:color w:val="17365D"/>
          <w:sz w:val="26"/>
        </w:rPr>
        <w:t>2.3 罗佳佳：数据清点、解析 PoC 与 Evidence Schema</w:t>
      </w:r>
    </w:p>
    <w:p>
      <w:pPr>
        <w:spacing w:line="293" w:lineRule="auto" w:after="80"/>
        <w:ind w:firstLine="420"/>
      </w:pPr>
      <w:r>
        <w:rPr>
          <w:rFonts w:ascii="Noto Serif CJK SC" w:hAnsi="Noto Serif CJK SC" w:eastAsia="Noto Serif CJK SC"/>
          <w:b w:val="0"/>
          <w:i w:val="0"/>
          <w:color w:val="1F1F1F"/>
          <w:sz w:val="21"/>
        </w:rPr>
        <w:t>data_governance 代码包是本周最接近工程交付标准的成果。代码能够通过 Python 语法编译检查，包含 README、依赖文件、单脚本运行入口、500 份 corpus manifest、16 份分层 PoC、128 条真实 EvidenceRecord 样例、解析质量日志和 JSON Schema。16 份 PoC 中 13 份通过、3 份旧版 DOC 警告、0 份失败，Schema 校验错误为 0。</w:t>
      </w:r>
    </w:p>
    <w:p>
      <w:pPr>
        <w:spacing w:line="293" w:lineRule="auto" w:after="80"/>
        <w:ind w:firstLine="420"/>
      </w:pPr>
      <w:r>
        <w:rPr>
          <w:rFonts w:ascii="Noto Serif CJK SC" w:hAnsi="Noto Serif CJK SC" w:eastAsia="Noto Serif CJK SC"/>
          <w:b w:val="0"/>
          <w:i w:val="0"/>
          <w:color w:val="1F1F1F"/>
          <w:sz w:val="21"/>
        </w:rPr>
        <w:t>该交付仍属于“结构探测和代表性样例”而非全量知识库：Evidence 样例只来自 16 份文件；32 份旧版 DOC 无法保证版面和表格结构；84 份附件未可靠关联主文档；重复文件和异常命名仍需处理；质量台账尚无人工 reviewer。抽查 Evidence 样例还发现 Sheet 级单位“亿元、%”被同时挂到金额和增长率单元格，以及同一年度下部分 Header Path 未继承年份的问题。</w:t>
      </w:r>
    </w:p>
    <w:p>
      <w:pPr>
        <w:pStyle w:val="ListBullet"/>
        <w:spacing w:after="40" w:line="269" w:lineRule="auto"/>
      </w:pPr>
      <w:r>
        <w:rPr>
          <w:rFonts w:ascii="Noto Serif CJK SC" w:hAnsi="Noto Serif CJK SC" w:eastAsia="Noto Serif CJK SC"/>
          <w:b w:val="0"/>
          <w:i w:val="0"/>
          <w:color w:val="1F1F1F"/>
          <w:sz w:val="20"/>
        </w:rPr>
        <w:t>验收结论：数据清点——通过；解析 PoC——条件通过；Evidence Schema——通过并作为统一契约候选。</w:t>
      </w:r>
    </w:p>
    <w:p>
      <w:pPr>
        <w:pStyle w:val="ListBullet"/>
        <w:spacing w:after="40" w:line="269" w:lineRule="auto"/>
      </w:pPr>
      <w:r>
        <w:rPr>
          <w:rFonts w:ascii="Noto Serif CJK SC" w:hAnsi="Noto Serif CJK SC" w:eastAsia="Noto Serif CJK SC"/>
          <w:b w:val="0"/>
          <w:i w:val="0"/>
          <w:color w:val="1F1F1F"/>
          <w:sz w:val="20"/>
        </w:rPr>
        <w:t>第二周必须完成 16 份 PoC 人工核验、单位与 Header Path 修复、旧版 DOC 风险处理和解析输出到检索输入的联调。</w:t>
      </w:r>
    </w:p>
    <w:p>
      <w:pPr>
        <w:pStyle w:val="ListBullet"/>
        <w:spacing w:after="40" w:line="269" w:lineRule="auto"/>
      </w:pPr>
      <w:r>
        <w:rPr>
          <w:rFonts w:ascii="Noto Serif CJK SC" w:hAnsi="Noto Serif CJK SC" w:eastAsia="Noto Serif CJK SC"/>
          <w:b w:val="0"/>
          <w:i w:val="0"/>
          <w:color w:val="1F1F1F"/>
          <w:sz w:val="20"/>
        </w:rPr>
        <w:t>不得把 validation_status=auto_checked 写成“已经人工验证正确”。</w:t>
      </w:r>
    </w:p>
    <w:p>
      <w:pPr>
        <w:spacing w:before="200" w:after="100"/>
      </w:pPr>
      <w:r>
        <w:rPr>
          <w:rFonts w:ascii="Noto Sans CJK SC" w:hAnsi="Noto Sans CJK SC" w:eastAsia="Noto Sans CJK SC"/>
          <w:b/>
          <w:i w:val="0"/>
          <w:color w:val="17365D"/>
          <w:sz w:val="26"/>
        </w:rPr>
        <w:t>2.4 程仁杰：在线问答与检索 Baseline</w:t>
      </w:r>
    </w:p>
    <w:p>
      <w:pPr>
        <w:spacing w:line="293" w:lineRule="auto" w:after="80"/>
        <w:ind w:firstLine="420"/>
      </w:pPr>
      <w:r>
        <w:rPr>
          <w:rFonts w:ascii="Noto Serif CJK SC" w:hAnsi="Noto Serif CJK SC" w:eastAsia="Noto Serif CJK SC"/>
          <w:b w:val="0"/>
          <w:i w:val="0"/>
          <w:color w:val="1F1F1F"/>
          <w:sz w:val="21"/>
        </w:rPr>
        <w:t>提交的 RAR 包包含较完整的 finreg-agents 工程，包括监管审计 Agent、对抗审查、治理、Trace、Streamlit、Docker 和测试结构，工程形态具有参考价值。但从文件结构和公开项目说明判断，该包对应的是面向 GwG、DORA、MaRisk、WpHG 等欧洲监管审计的开源 FinRegAgents 工程，而不是面向 NFRA 制度与统计报表问答的数据和 Baseline。</w:t>
      </w:r>
    </w:p>
    <w:p>
      <w:pPr>
        <w:spacing w:line="293" w:lineRule="auto" w:after="80"/>
        <w:ind w:firstLine="420"/>
      </w:pPr>
      <w:r>
        <w:rPr>
          <w:rFonts w:ascii="Noto Serif CJK SC" w:hAnsi="Noto Serif CJK SC" w:eastAsia="Noto Serif CJK SC"/>
          <w:b w:val="0"/>
          <w:i w:val="0"/>
          <w:color w:val="1F1F1F"/>
          <w:sz w:val="21"/>
        </w:rPr>
        <w:t>当前未见该代码包使用本项目 EvidenceRecord、500 份语料和 323 道问题运行的证明，也未见 B1 BM25、B2 Dense、B3 Hybrid RRF 的 Top-K 日志与指标。因此它可以作为 Agent 治理和审计 Trace 的参考代码，但不能作为第一周“项目专用 Baseline 问答代码与 README”的验收结果。</w:t>
      </w:r>
    </w:p>
    <w:p>
      <w:pPr>
        <w:pStyle w:val="ListBullet"/>
        <w:spacing w:after="40" w:line="269" w:lineRule="auto"/>
      </w:pPr>
      <w:r>
        <w:rPr>
          <w:rFonts w:ascii="Noto Serif CJK SC" w:hAnsi="Noto Serif CJK SC" w:eastAsia="Noto Serif CJK SC"/>
          <w:b w:val="0"/>
          <w:i w:val="0"/>
          <w:color w:val="1F1F1F"/>
          <w:sz w:val="20"/>
        </w:rPr>
        <w:t>验收结论：外部参考工程——可保留；项目专用 Baseline——未通过。</w:t>
      </w:r>
    </w:p>
    <w:p>
      <w:pPr>
        <w:pStyle w:val="ListBullet"/>
        <w:spacing w:after="40" w:line="269" w:lineRule="auto"/>
      </w:pPr>
      <w:r>
        <w:rPr>
          <w:rFonts w:ascii="Noto Serif CJK SC" w:hAnsi="Noto Serif CJK SC" w:eastAsia="Noto Serif CJK SC"/>
          <w:b w:val="0"/>
          <w:i w:val="0"/>
          <w:color w:val="1F1F1F"/>
          <w:sz w:val="20"/>
        </w:rPr>
        <w:t>必须记录开源来源、Apache 2.0 许可证和实际改动范围，提交包不得把外部仓库直接作为团队原创成果。</w:t>
      </w:r>
    </w:p>
    <w:p>
      <w:pPr>
        <w:pStyle w:val="ListBullet"/>
        <w:spacing w:after="40" w:line="269" w:lineRule="auto"/>
      </w:pPr>
      <w:r>
        <w:rPr>
          <w:rFonts w:ascii="Noto Serif CJK SC" w:hAnsi="Noto Serif CJK SC" w:eastAsia="Noto Serif CJK SC"/>
          <w:b w:val="0"/>
          <w:i w:val="0"/>
          <w:color w:val="1F1F1F"/>
          <w:sz w:val="20"/>
        </w:rPr>
        <w:t>第二周只需实现本项目 B1-B3，不应先复制欧洲监管审计的多 Agent 复杂链路。</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2948"/>
            <w:vAlign w:val="center"/>
            <w:tcMar>
              <w:top w:w="80" w:type="dxa"/>
              <w:start w:w="90" w:type="dxa"/>
              <w:bottom w:w="80" w:type="dxa"/>
              <w:end w:w="90" w:type="dxa"/>
            </w:tcMar>
            <w:shd w:fill="17365D"/>
          </w:tcPr>
          <w:p>
            <w:pPr>
              <w:spacing w:after="0" w:line="252" w:lineRule="auto"/>
              <w:jc w:val="center"/>
            </w:pPr>
            <w:r/>
            <w:r>
              <w:rPr>
                <w:rFonts w:ascii="Noto Serif CJK SC" w:hAnsi="Noto Serif CJK SC" w:eastAsia="Noto Serif CJK SC"/>
                <w:b/>
                <w:i w:val="0"/>
                <w:color w:val="FFFFFF"/>
                <w:sz w:val="17"/>
              </w:rPr>
              <w:t>交付物</w:t>
            </w:r>
          </w:p>
        </w:tc>
        <w:tc>
          <w:tcPr>
            <w:tcW w:type="dxa" w:w="1134"/>
            <w:vAlign w:val="center"/>
            <w:tcMar>
              <w:top w:w="80" w:type="dxa"/>
              <w:start w:w="90" w:type="dxa"/>
              <w:bottom w:w="80" w:type="dxa"/>
              <w:end w:w="90" w:type="dxa"/>
            </w:tcMar>
            <w:shd w:fill="17365D"/>
          </w:tcPr>
          <w:p>
            <w:pPr>
              <w:spacing w:after="0" w:line="252" w:lineRule="auto"/>
              <w:jc w:val="center"/>
            </w:pPr>
            <w:r/>
            <w:r>
              <w:rPr>
                <w:rFonts w:ascii="Noto Serif CJK SC" w:hAnsi="Noto Serif CJK SC" w:eastAsia="Noto Serif CJK SC"/>
                <w:b/>
                <w:i w:val="0"/>
                <w:color w:val="FFFFFF"/>
                <w:sz w:val="17"/>
              </w:rPr>
              <w:t>负责人</w:t>
            </w:r>
          </w:p>
        </w:tc>
        <w:tc>
          <w:tcPr>
            <w:tcW w:type="dxa" w:w="1191"/>
            <w:vAlign w:val="center"/>
            <w:tcMar>
              <w:top w:w="80" w:type="dxa"/>
              <w:start w:w="90" w:type="dxa"/>
              <w:bottom w:w="80" w:type="dxa"/>
              <w:end w:w="90" w:type="dxa"/>
            </w:tcMar>
            <w:shd w:fill="17365D"/>
          </w:tcPr>
          <w:p>
            <w:pPr>
              <w:spacing w:after="0" w:line="252" w:lineRule="auto"/>
              <w:jc w:val="center"/>
            </w:pPr>
            <w:r/>
            <w:r>
              <w:rPr>
                <w:rFonts w:ascii="Noto Serif CJK SC" w:hAnsi="Noto Serif CJK SC" w:eastAsia="Noto Serif CJK SC"/>
                <w:b/>
                <w:i w:val="0"/>
                <w:color w:val="FFFFFF"/>
                <w:sz w:val="17"/>
              </w:rPr>
              <w:t>状态</w:t>
            </w:r>
          </w:p>
        </w:tc>
        <w:tc>
          <w:tcPr>
            <w:tcW w:type="dxa" w:w="4082"/>
            <w:vAlign w:val="center"/>
            <w:tcMar>
              <w:top w:w="80" w:type="dxa"/>
              <w:start w:w="90" w:type="dxa"/>
              <w:bottom w:w="80" w:type="dxa"/>
              <w:end w:w="90" w:type="dxa"/>
            </w:tcMar>
            <w:shd w:fill="17365D"/>
          </w:tcPr>
          <w:p>
            <w:pPr>
              <w:spacing w:after="0" w:line="252" w:lineRule="auto"/>
              <w:jc w:val="center"/>
            </w:pPr>
            <w:r/>
            <w:r>
              <w:rPr>
                <w:rFonts w:ascii="Noto Serif CJK SC" w:hAnsi="Noto Serif CJK SC" w:eastAsia="Noto Serif CJK SC"/>
                <w:b/>
                <w:i w:val="0"/>
                <w:color w:val="FFFFFF"/>
                <w:sz w:val="17"/>
              </w:rPr>
              <w:t>处理意见</w:t>
            </w:r>
          </w:p>
        </w:tc>
      </w:tr>
      <w:tr>
        <w:trPr>
          <w:cantSplit/>
        </w:trPr>
        <w:tc>
          <w:tcPr>
            <w:tcW w:type="dxa" w:w="2948"/>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三个核心业务场景</w:t>
            </w:r>
          </w:p>
        </w:tc>
        <w:tc>
          <w:tcPr>
            <w:tcW w:type="dxa" w:w="1134"/>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李静雯</w:t>
            </w:r>
          </w:p>
        </w:tc>
        <w:tc>
          <w:tcPr>
            <w:tcW w:type="dxa" w:w="1191"/>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通过</w:t>
            </w:r>
          </w:p>
        </w:tc>
        <w:tc>
          <w:tcPr>
            <w:tcW w:type="dxa" w:w="4082"/>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可直接作为需求基线</w:t>
            </w:r>
          </w:p>
        </w:tc>
      </w:tr>
      <w:tr>
        <w:trPr>
          <w:cantSplit/>
        </w:trPr>
        <w:tc>
          <w:tcPr>
            <w:tcW w:type="dxa" w:w="2948"/>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11 条用户故事</w:t>
            </w:r>
          </w:p>
        </w:tc>
        <w:tc>
          <w:tcPr>
            <w:tcW w:type="dxa" w:w="1134"/>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李静雯</w:t>
            </w:r>
          </w:p>
        </w:tc>
        <w:tc>
          <w:tcPr>
            <w:tcW w:type="dxa" w:w="1191"/>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条件通过</w:t>
            </w:r>
          </w:p>
        </w:tc>
        <w:tc>
          <w:tcPr>
            <w:tcW w:type="dxa" w:w="4082"/>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区分公开语料场景与模拟/内部数据场景</w:t>
            </w:r>
          </w:p>
        </w:tc>
      </w:tr>
      <w:tr>
        <w:trPr>
          <w:cantSplit/>
        </w:trPr>
        <w:tc>
          <w:tcPr>
            <w:tcW w:type="dxa" w:w="2948"/>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项目书 V1.1/术语表</w:t>
            </w:r>
          </w:p>
        </w:tc>
        <w:tc>
          <w:tcPr>
            <w:tcW w:type="dxa" w:w="1134"/>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李静雯</w:t>
            </w:r>
          </w:p>
        </w:tc>
        <w:tc>
          <w:tcPr>
            <w:tcW w:type="dxa" w:w="1191"/>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未通过</w:t>
            </w:r>
          </w:p>
        </w:tc>
        <w:tc>
          <w:tcPr>
            <w:tcW w:type="dxa" w:w="4082"/>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未见完整独立交付，现有 V1 仍需修订</w:t>
            </w:r>
          </w:p>
        </w:tc>
      </w:tr>
      <w:tr>
        <w:trPr>
          <w:cantSplit/>
        </w:trPr>
        <w:tc>
          <w:tcPr>
            <w:tcW w:type="dxa" w:w="2948"/>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三类业务场景验收表</w:t>
            </w:r>
          </w:p>
        </w:tc>
        <w:tc>
          <w:tcPr>
            <w:tcW w:type="dxa" w:w="1134"/>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杨怡睿</w:t>
            </w:r>
          </w:p>
        </w:tc>
        <w:tc>
          <w:tcPr>
            <w:tcW w:type="dxa" w:w="1191"/>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通过</w:t>
            </w:r>
          </w:p>
        </w:tc>
        <w:tc>
          <w:tcPr>
            <w:tcW w:type="dxa" w:w="4082"/>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已具备可执行验收条件</w:t>
            </w:r>
          </w:p>
        </w:tc>
      </w:tr>
      <w:tr>
        <w:trPr>
          <w:cantSplit/>
        </w:trPr>
        <w:tc>
          <w:tcPr>
            <w:tcW w:type="dxa" w:w="2948"/>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323 道评测问题</w:t>
            </w:r>
          </w:p>
        </w:tc>
        <w:tc>
          <w:tcPr>
            <w:tcW w:type="dxa" w:w="1134"/>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杨怡睿</w:t>
            </w:r>
          </w:p>
        </w:tc>
        <w:tc>
          <w:tcPr>
            <w:tcW w:type="dxa" w:w="1191"/>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条件通过</w:t>
            </w:r>
          </w:p>
        </w:tc>
        <w:tc>
          <w:tcPr>
            <w:tcW w:type="dxa" w:w="4082"/>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需去重、补 qa_type、精确证据并增加拒答题</w:t>
            </w:r>
          </w:p>
        </w:tc>
      </w:tr>
      <w:tr>
        <w:trPr>
          <w:cantSplit/>
        </w:trPr>
        <w:tc>
          <w:tcPr>
            <w:tcW w:type="dxa" w:w="2948"/>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报名与材料管理</w:t>
            </w:r>
          </w:p>
        </w:tc>
        <w:tc>
          <w:tcPr>
            <w:tcW w:type="dxa" w:w="1134"/>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杨怡睿</w:t>
            </w:r>
          </w:p>
        </w:tc>
        <w:tc>
          <w:tcPr>
            <w:tcW w:type="dxa" w:w="1191"/>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无法核验</w:t>
            </w:r>
          </w:p>
        </w:tc>
        <w:tc>
          <w:tcPr>
            <w:tcW w:type="dxa" w:w="4082"/>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当前未提供状态材料</w:t>
            </w:r>
          </w:p>
        </w:tc>
      </w:tr>
      <w:tr>
        <w:trPr>
          <w:cantSplit/>
        </w:trPr>
        <w:tc>
          <w:tcPr>
            <w:tcW w:type="dxa" w:w="2948"/>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数据底座与解析 PoC</w:t>
            </w:r>
          </w:p>
        </w:tc>
        <w:tc>
          <w:tcPr>
            <w:tcW w:type="dxa" w:w="1134"/>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罗佳佳</w:t>
            </w:r>
          </w:p>
        </w:tc>
        <w:tc>
          <w:tcPr>
            <w:tcW w:type="dxa" w:w="1191"/>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条件通过</w:t>
            </w:r>
          </w:p>
        </w:tc>
        <w:tc>
          <w:tcPr>
            <w:tcW w:type="dxa" w:w="4082"/>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结构可运行，需人工核验与语义修复</w:t>
            </w:r>
          </w:p>
        </w:tc>
      </w:tr>
      <w:tr>
        <w:trPr>
          <w:cantSplit/>
        </w:trPr>
        <w:tc>
          <w:tcPr>
            <w:tcW w:type="dxa" w:w="2948"/>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项目专用 Baseline</w:t>
            </w:r>
          </w:p>
        </w:tc>
        <w:tc>
          <w:tcPr>
            <w:tcW w:type="dxa" w:w="1134"/>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程仁杰</w:t>
            </w:r>
          </w:p>
        </w:tc>
        <w:tc>
          <w:tcPr>
            <w:tcW w:type="dxa" w:w="1191"/>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未通过</w:t>
            </w:r>
          </w:p>
        </w:tc>
        <w:tc>
          <w:tcPr>
            <w:tcW w:type="dxa" w:w="4082"/>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当前包为外部参考工程，未在本项目数据上验证</w:t>
            </w:r>
          </w:p>
        </w:tc>
      </w:tr>
    </w:tbl>
    <w:p>
      <w:pPr>
        <w:spacing w:after="40"/>
      </w:pPr>
    </w:p>
    <w:p>
      <w:r>
        <w:br w:type="page"/>
      </w:r>
    </w:p>
    <w:p>
      <w:pPr>
        <w:spacing w:before="280" w:after="140"/>
        <w:pBdr>
          <w:bottom w:val="single" w:sz="12" w:color="17365D"/>
        </w:pBdr>
      </w:pPr>
      <w:r>
        <w:rPr>
          <w:rFonts w:ascii="Noto Sans CJK SC" w:hAnsi="Noto Sans CJK SC" w:eastAsia="Noto Sans CJK SC"/>
          <w:b/>
          <w:i w:val="0"/>
          <w:color w:val="17365D"/>
          <w:sz w:val="32"/>
        </w:rPr>
        <w:t>3 陈伦禄本周工作结果交付</w:t>
      </w:r>
    </w:p>
    <w:p>
      <w:pPr>
        <w:spacing w:before="200" w:after="100"/>
      </w:pPr>
      <w:r>
        <w:rPr>
          <w:rFonts w:ascii="Noto Sans CJK SC" w:hAnsi="Noto Sans CJK SC" w:eastAsia="Noto Sans CJK SC"/>
          <w:b/>
          <w:i w:val="0"/>
          <w:color w:val="17365D"/>
          <w:sz w:val="26"/>
        </w:rPr>
        <w:t>3.1 原计划任务完成情况</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948"/>
            <w:vAlign w:val="center"/>
            <w:tcMar>
              <w:top w:w="80" w:type="dxa"/>
              <w:start w:w="90" w:type="dxa"/>
              <w:bottom w:w="80" w:type="dxa"/>
              <w:end w:w="90" w:type="dxa"/>
            </w:tcMar>
            <w:shd w:fill="17365D"/>
          </w:tcPr>
          <w:p>
            <w:pPr>
              <w:spacing w:after="0" w:line="252" w:lineRule="auto"/>
              <w:jc w:val="center"/>
            </w:pPr>
            <w:r/>
            <w:r>
              <w:rPr>
                <w:rFonts w:ascii="Noto Serif CJK SC" w:hAnsi="Noto Serif CJK SC" w:eastAsia="Noto Serif CJK SC"/>
                <w:b/>
                <w:i w:val="0"/>
                <w:color w:val="FFFFFF"/>
                <w:sz w:val="17"/>
              </w:rPr>
              <w:t>任务</w:t>
            </w:r>
          </w:p>
        </w:tc>
        <w:tc>
          <w:tcPr>
            <w:tcW w:type="dxa" w:w="1814"/>
            <w:vAlign w:val="center"/>
            <w:tcMar>
              <w:top w:w="80" w:type="dxa"/>
              <w:start w:w="90" w:type="dxa"/>
              <w:bottom w:w="80" w:type="dxa"/>
              <w:end w:w="90" w:type="dxa"/>
            </w:tcMar>
            <w:shd w:fill="17365D"/>
          </w:tcPr>
          <w:p>
            <w:pPr>
              <w:spacing w:after="0" w:line="252" w:lineRule="auto"/>
              <w:jc w:val="center"/>
            </w:pPr>
            <w:r/>
            <w:r>
              <w:rPr>
                <w:rFonts w:ascii="Noto Serif CJK SC" w:hAnsi="Noto Serif CJK SC" w:eastAsia="Noto Serif CJK SC"/>
                <w:b/>
                <w:i w:val="0"/>
                <w:color w:val="FFFFFF"/>
                <w:sz w:val="17"/>
              </w:rPr>
              <w:t>状态</w:t>
            </w:r>
          </w:p>
        </w:tc>
        <w:tc>
          <w:tcPr>
            <w:tcW w:type="dxa" w:w="4535"/>
            <w:vAlign w:val="center"/>
            <w:tcMar>
              <w:top w:w="80" w:type="dxa"/>
              <w:start w:w="90" w:type="dxa"/>
              <w:bottom w:w="80" w:type="dxa"/>
              <w:end w:w="90" w:type="dxa"/>
            </w:tcMar>
            <w:shd w:fill="17365D"/>
          </w:tcPr>
          <w:p>
            <w:pPr>
              <w:spacing w:after="0" w:line="252" w:lineRule="auto"/>
              <w:jc w:val="center"/>
            </w:pPr>
            <w:r/>
            <w:r>
              <w:rPr>
                <w:rFonts w:ascii="Noto Serif CJK SC" w:hAnsi="Noto Serif CJK SC" w:eastAsia="Noto Serif CJK SC"/>
                <w:b/>
                <w:i w:val="0"/>
                <w:color w:val="FFFFFF"/>
                <w:sz w:val="17"/>
              </w:rPr>
              <w:t>本周证据与说明</w:t>
            </w:r>
          </w:p>
        </w:tc>
      </w:tr>
      <w:tr>
        <w:trPr>
          <w:cantSplit/>
        </w:trPr>
        <w:tc>
          <w:tcPr>
            <w:tcW w:type="dxa" w:w="2948"/>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项目协调与场景冻结</w:t>
            </w:r>
          </w:p>
        </w:tc>
        <w:tc>
          <w:tcPr>
            <w:tcW w:type="dxa" w:w="1814"/>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已完成</w:t>
            </w:r>
          </w:p>
        </w:tc>
        <w:tc>
          <w:tcPr>
            <w:tcW w:type="dxa" w:w="453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通过场景材料和验收表完成需求冻结；三个核心业务流程已形成。</w:t>
            </w:r>
          </w:p>
        </w:tc>
      </w:tr>
      <w:tr>
        <w:trPr>
          <w:cantSplit/>
        </w:trPr>
        <w:tc>
          <w:tcPr>
            <w:tcW w:type="dxa" w:w="2948"/>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技术架构与接口说明</w:t>
            </w:r>
          </w:p>
        </w:tc>
        <w:tc>
          <w:tcPr>
            <w:tcW w:type="dxa" w:w="1814"/>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设计完成，代码未落地</w:t>
            </w:r>
          </w:p>
        </w:tc>
        <w:tc>
          <w:tcPr>
            <w:tcW w:type="dxa" w:w="453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已形成主架构和 Baseline 路线；本交付包补充 QueryPlan、EvidenceRecord、AnswerResponse、TraceRecord 契约。</w:t>
            </w:r>
          </w:p>
        </w:tc>
      </w:tr>
      <w:tr>
        <w:trPr>
          <w:cantSplit/>
        </w:trPr>
        <w:tc>
          <w:tcPr>
            <w:tcW w:type="dxa" w:w="2948"/>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Git 仓库、分支与主入口</w:t>
            </w:r>
          </w:p>
        </w:tc>
        <w:tc>
          <w:tcPr>
            <w:tcW w:type="dxa" w:w="1814"/>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未完成</w:t>
            </w:r>
          </w:p>
        </w:tc>
        <w:tc>
          <w:tcPr>
            <w:tcW w:type="dxa" w:w="453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当前解析包与在线代码包分离，未形成统一仓库和一条命令运行入口。</w:t>
            </w:r>
          </w:p>
        </w:tc>
      </w:tr>
      <w:tr>
        <w:trPr>
          <w:cantSplit/>
        </w:trPr>
        <w:tc>
          <w:tcPr>
            <w:tcW w:type="dxa" w:w="2948"/>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周中联调与周末验收</w:t>
            </w:r>
          </w:p>
        </w:tc>
        <w:tc>
          <w:tcPr>
            <w:tcW w:type="dxa" w:w="1814"/>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部分完成</w:t>
            </w:r>
          </w:p>
        </w:tc>
        <w:tc>
          <w:tcPr>
            <w:tcW w:type="dxa" w:w="453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已完成材料审查和第二周 Issue；但缺少真实端到端问答日志，不能完成代码层错例复盘。</w:t>
            </w:r>
          </w:p>
        </w:tc>
      </w:tr>
      <w:tr>
        <w:trPr>
          <w:cantSplit/>
        </w:trPr>
        <w:tc>
          <w:tcPr>
            <w:tcW w:type="dxa" w:w="2948"/>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额外工作：文献调研与 Baseline 方案</w:t>
            </w:r>
          </w:p>
        </w:tc>
        <w:tc>
          <w:tcPr>
            <w:tcW w:type="dxa" w:w="1814"/>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已完成</w:t>
            </w:r>
          </w:p>
        </w:tc>
        <w:tc>
          <w:tcPr>
            <w:tcW w:type="dxa" w:w="453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形成 28 页调研书，定义 B0-B7 递进基线、主架构、指标与实施优先级。</w:t>
            </w:r>
          </w:p>
        </w:tc>
      </w:tr>
    </w:tbl>
    <w:p>
      <w:pPr>
        <w:spacing w:after="40"/>
      </w:pPr>
    </w:p>
    <w:p>
      <w:pPr>
        <w:spacing w:before="200" w:after="100"/>
      </w:pPr>
      <w:r>
        <w:rPr>
          <w:rFonts w:ascii="Noto Sans CJK SC" w:hAnsi="Noto Sans CJK SC" w:eastAsia="Noto Sans CJK SC"/>
          <w:b/>
          <w:i w:val="0"/>
          <w:color w:val="17365D"/>
          <w:sz w:val="26"/>
        </w:rPr>
        <w:t>3.2 本周已完成的核心成果</w:t>
      </w:r>
    </w:p>
    <w:p>
      <w:pPr>
        <w:pStyle w:val="ListBullet"/>
        <w:spacing w:after="40" w:line="269" w:lineRule="auto"/>
      </w:pPr>
      <w:r>
        <w:rPr>
          <w:rFonts w:ascii="Noto Serif CJK SC" w:hAnsi="Noto Serif CJK SC" w:eastAsia="Noto Serif CJK SC"/>
          <w:b w:val="0"/>
          <w:i w:val="0"/>
          <w:color w:val="1F1F1F"/>
          <w:sz w:val="20"/>
        </w:rPr>
        <w:t>完成赛题研究路线收敛：不把项目做成泛金融 Agent，而是聚焦制度查询、表格取数和跨文件合规判断。</w:t>
      </w:r>
    </w:p>
    <w:p>
      <w:pPr>
        <w:pStyle w:val="ListBullet"/>
        <w:spacing w:after="40" w:line="269" w:lineRule="auto"/>
      </w:pPr>
      <w:r>
        <w:rPr>
          <w:rFonts w:ascii="Noto Serif CJK SC" w:hAnsi="Noto Serif CJK SC" w:eastAsia="Noto Serif CJK SC"/>
          <w:b w:val="0"/>
          <w:i w:val="0"/>
          <w:color w:val="1F1F1F"/>
          <w:sz w:val="20"/>
        </w:rPr>
        <w:t>形成八级递进 Baseline：B0 Closed-book、B1 BM25、B2 Dense、B3 Hybrid RRF、B4 Hierarchical RAG、B5 Cell-RAG、B6 Evidence Gate + Tool、B7 Agentic Multi-hop。</w:t>
      </w:r>
    </w:p>
    <w:p>
      <w:pPr>
        <w:pStyle w:val="ListBullet"/>
        <w:spacing w:after="40" w:line="269" w:lineRule="auto"/>
      </w:pPr>
      <w:r>
        <w:rPr>
          <w:rFonts w:ascii="Noto Serif CJK SC" w:hAnsi="Noto Serif CJK SC" w:eastAsia="Noto Serif CJK SC"/>
          <w:b w:val="0"/>
          <w:i w:val="0"/>
          <w:color w:val="1F1F1F"/>
          <w:sz w:val="20"/>
        </w:rPr>
        <w:t>冻结第一版主系统原则：统一 Evidence Schema 是中枢；Agent 是受控编排层，不替代底层解析、检索和证据校验。</w:t>
      </w:r>
    </w:p>
    <w:p>
      <w:pPr>
        <w:pStyle w:val="ListBullet"/>
        <w:spacing w:after="40" w:line="269" w:lineRule="auto"/>
      </w:pPr>
      <w:r>
        <w:rPr>
          <w:rFonts w:ascii="Noto Serif CJK SC" w:hAnsi="Noto Serif CJK SC" w:eastAsia="Noto Serif CJK SC"/>
          <w:b w:val="0"/>
          <w:i w:val="0"/>
          <w:color w:val="1F1F1F"/>
          <w:sz w:val="20"/>
        </w:rPr>
        <w:t>完成队员成果的质量审查，识别评测集重复、Evidence 单位语义、外部代码适配、项目书过度表述等主要风险。</w:t>
      </w:r>
    </w:p>
    <w:p>
      <w:pPr>
        <w:pStyle w:val="ListBullet"/>
        <w:spacing w:after="40" w:line="269" w:lineRule="auto"/>
      </w:pPr>
      <w:r>
        <w:rPr>
          <w:rFonts w:ascii="Noto Serif CJK SC" w:hAnsi="Noto Serif CJK SC" w:eastAsia="Noto Serif CJK SC"/>
          <w:b w:val="0"/>
          <w:i w:val="0"/>
          <w:color w:val="1F1F1F"/>
          <w:sz w:val="20"/>
        </w:rPr>
        <w:t>补充系统接口说明、QueryPlan/AnswerResponse/TraceRecord Schema、统一输出样例和第二周 P0/P1 Issue。</w:t>
      </w:r>
    </w:p>
    <w:p>
      <w:pPr>
        <w:spacing w:before="200" w:after="100"/>
      </w:pPr>
      <w:r>
        <w:rPr>
          <w:rFonts w:ascii="Noto Sans CJK SC" w:hAnsi="Noto Sans CJK SC" w:eastAsia="Noto Sans CJK SC"/>
          <w:b/>
          <w:i w:val="0"/>
          <w:color w:val="17365D"/>
          <w:sz w:val="26"/>
        </w:rPr>
        <w:t>3.3 尚未完成及不能虚报的事项</w:t>
      </w:r>
    </w:p>
    <w:tbl>
      <w:tblPr>
        <w:tblW w:type="auto" w:w="0"/>
        <w:jc w:val="center"/>
        <w:tblLook w:firstColumn="1" w:firstRow="1" w:lastColumn="0" w:lastRow="0" w:noHBand="0" w:noVBand="1" w:val="04A0"/>
      </w:tblPr>
      <w:tblGrid>
        <w:gridCol w:w="9972"/>
      </w:tblGrid>
      <w:tr>
        <w:tc>
          <w:tcPr>
            <w:tcW w:type="dxa" w:w="9972"/>
            <w:shd w:fill="FCE4D6"/>
            <w:tcMar>
              <w:top w:w="140" w:type="dxa"/>
              <w:start w:w="160" w:type="dxa"/>
              <w:bottom w:w="140" w:type="dxa"/>
              <w:end w:w="160" w:type="dxa"/>
            </w:tcMar>
          </w:tcPr>
          <w:p>
            <w:pPr>
              <w:spacing w:after="60"/>
            </w:pPr>
            <w:r/>
            <w:r>
              <w:rPr>
                <w:rFonts w:ascii="Noto Sans CJK SC" w:hAnsi="Noto Sans CJK SC" w:eastAsia="Noto Sans CJK SC"/>
                <w:b/>
                <w:i w:val="0"/>
                <w:color w:val="17365D"/>
                <w:sz w:val="22"/>
              </w:rPr>
              <w:t>未完成项</w:t>
            </w:r>
          </w:p>
          <w:p>
            <w:pPr>
              <w:spacing w:after="0" w:line="276" w:lineRule="auto"/>
            </w:pPr>
            <w:r>
              <w:rPr>
                <w:rFonts w:ascii="Noto Serif CJK SC" w:hAnsi="Noto Serif CJK SC" w:eastAsia="Noto Serif CJK SC"/>
                <w:b w:val="0"/>
                <w:i w:val="0"/>
                <w:color w:val="1F1F1F"/>
                <w:sz w:val="20"/>
              </w:rPr>
              <w:t>统一 Git 仓库、分支保护和代码评审流程尚未实际建立；项目专用 B1-B3 尚未运行；没有 20 道端到端问答日志；解析输出尚未接入在线索引；因此不能对外声称“Baseline 已跑通”或“Agent 系统已完成”。</w:t>
            </w:r>
          </w:p>
        </w:tc>
      </w:tr>
    </w:tbl>
    <w:p>
      <w:pPr>
        <w:spacing w:after="40"/>
      </w:pPr>
    </w:p>
    <w:p>
      <w:pPr>
        <w:spacing w:line="293" w:lineRule="auto" w:after="80"/>
        <w:ind w:firstLine="420"/>
      </w:pPr>
      <w:r>
        <w:rPr>
          <w:rFonts w:ascii="Noto Serif CJK SC" w:hAnsi="Noto Serif CJK SC" w:eastAsia="Noto Serif CJK SC"/>
          <w:b w:val="0"/>
          <w:i w:val="0"/>
          <w:color w:val="1F1F1F"/>
          <w:sz w:val="21"/>
        </w:rPr>
        <w:t>本周工作可以验收为“需求、数据契约、技术路线和管理闭环基本完成”，不能验收为“可运行问答系统已经完成”。第二周本人工作的首要目标是将纸面架构变成统一仓库和最小可运行主入口。</w:t>
      </w:r>
    </w:p>
    <w:p>
      <w:pPr>
        <w:spacing w:before="280" w:after="140"/>
        <w:pBdr>
          <w:bottom w:val="single" w:sz="12" w:color="17365D"/>
        </w:pBdr>
      </w:pPr>
      <w:r>
        <w:rPr>
          <w:rFonts w:ascii="Noto Sans CJK SC" w:hAnsi="Noto Sans CJK SC" w:eastAsia="Noto Sans CJK SC"/>
          <w:b/>
          <w:i w:val="0"/>
          <w:color w:val="17365D"/>
          <w:sz w:val="32"/>
        </w:rPr>
        <w:t>4 系统架构与 Baseline 冻结结果</w:t>
      </w:r>
    </w:p>
    <w:p>
      <w:pPr>
        <w:spacing w:before="200" w:after="100"/>
      </w:pPr>
      <w:r>
        <w:rPr>
          <w:rFonts w:ascii="Noto Sans CJK SC" w:hAnsi="Noto Sans CJK SC" w:eastAsia="Noto Sans CJK SC"/>
          <w:b/>
          <w:i w:val="0"/>
          <w:color w:val="17365D"/>
          <w:sz w:val="26"/>
        </w:rPr>
        <w:t>4.1 主系统统一架构 V1</w:t>
      </w:r>
    </w:p>
    <w:p>
      <w:pPr>
        <w:jc w:val="center"/>
      </w:pPr>
      <w:r>
        <w:drawing>
          <wp:inline xmlns:a="http://schemas.openxmlformats.org/drawingml/2006/main" xmlns:pic="http://schemas.openxmlformats.org/drawingml/2006/picture">
            <wp:extent cx="5940000" cy="3376421"/>
            <wp:docPr id="1" name="Picture 1"/>
            <wp:cNvGraphicFramePr>
              <a:graphicFrameLocks noChangeAspect="1"/>
            </wp:cNvGraphicFramePr>
            <a:graphic>
              <a:graphicData uri="http://schemas.openxmlformats.org/drawingml/2006/picture">
                <pic:pic>
                  <pic:nvPicPr>
                    <pic:cNvPr id="0" name="system_architecture_v1.png"/>
                    <pic:cNvPicPr/>
                  </pic:nvPicPr>
                  <pic:blipFill>
                    <a:blip r:embed="rId11"/>
                    <a:stretch>
                      <a:fillRect/>
                    </a:stretch>
                  </pic:blipFill>
                  <pic:spPr>
                    <a:xfrm>
                      <a:off x="0" y="0"/>
                      <a:ext cx="5940000" cy="3376421"/>
                    </a:xfrm>
                    <a:prstGeom prst="rect"/>
                  </pic:spPr>
                </pic:pic>
              </a:graphicData>
            </a:graphic>
          </wp:inline>
        </w:drawing>
      </w:r>
    </w:p>
    <w:p>
      <w:pPr>
        <w:spacing w:after="100"/>
        <w:jc w:val="center"/>
      </w:pPr>
      <w:r>
        <w:rPr>
          <w:rFonts w:ascii="Noto Serif CJK SC" w:hAnsi="Noto Serif CJK SC" w:eastAsia="Noto Serif CJK SC"/>
          <w:b w:val="0"/>
          <w:i/>
          <w:color w:val="666666"/>
          <w:sz w:val="18"/>
        </w:rPr>
        <w:t>图 1 可信 RegRAG Baseline / 主系统统一架构 V1</w:t>
      </w:r>
    </w:p>
    <w:p>
      <w:pPr>
        <w:spacing w:line="293" w:lineRule="auto" w:after="80"/>
        <w:ind w:firstLine="420"/>
      </w:pPr>
      <w:r>
        <w:rPr>
          <w:rFonts w:ascii="Noto Serif CJK SC" w:hAnsi="Noto Serif CJK SC" w:eastAsia="Noto Serif CJK SC"/>
          <w:b w:val="0"/>
          <w:i w:val="0"/>
          <w:color w:val="1F1F1F"/>
          <w:sz w:val="21"/>
        </w:rPr>
        <w:t>架构分为数据接入、结构化证据、检索与排序、可信控制、输出与评测五层。解析模块统一输出 EvidenceRecord；检索模块只返回证据与分数；Evidence Gate 判断充分、不足或冲突；工具层执行确定性取数和计算；生成层输出赛题字段和可核验引用。</w:t>
      </w:r>
    </w:p>
    <w:p>
      <w:pPr>
        <w:pStyle w:val="ListBullet"/>
        <w:spacing w:after="40" w:line="269" w:lineRule="auto"/>
      </w:pPr>
      <w:r>
        <w:rPr>
          <w:rFonts w:ascii="Noto Serif CJK SC" w:hAnsi="Noto Serif CJK SC" w:eastAsia="Noto Serif CJK SC"/>
          <w:b w:val="0"/>
          <w:i w:val="0"/>
          <w:color w:val="1F1F1F"/>
          <w:sz w:val="20"/>
        </w:rPr>
        <w:t>离线链：Word/PDF/Excel/Manifest → 解析 → Evidence Store → 索引。</w:t>
      </w:r>
    </w:p>
    <w:p>
      <w:pPr>
        <w:pStyle w:val="ListBullet"/>
        <w:spacing w:after="40" w:line="269" w:lineRule="auto"/>
      </w:pPr>
      <w:r>
        <w:rPr>
          <w:rFonts w:ascii="Noto Serif CJK SC" w:hAnsi="Noto Serif CJK SC" w:eastAsia="Noto Serif CJK SC"/>
          <w:b w:val="0"/>
          <w:i w:val="0"/>
          <w:color w:val="1F1F1F"/>
          <w:sz w:val="20"/>
        </w:rPr>
        <w:t>在线链：问题 → QueryPlan → 多路检索 → 重排 → Evidence Gate → 工具/生成 → 自核 → Answer + Citation + Trace。</w:t>
      </w:r>
    </w:p>
    <w:p>
      <w:pPr>
        <w:pStyle w:val="ListBullet"/>
        <w:spacing w:after="40" w:line="269" w:lineRule="auto"/>
      </w:pPr>
      <w:r>
        <w:rPr>
          <w:rFonts w:ascii="Noto Serif CJK SC" w:hAnsi="Noto Serif CJK SC" w:eastAsia="Noto Serif CJK SC"/>
          <w:b w:val="0"/>
          <w:i w:val="0"/>
          <w:color w:val="1F1F1F"/>
          <w:sz w:val="20"/>
        </w:rPr>
        <w:t>第一版不要求完整多 Agent 自主规划，优先采用有限状态、固定最大跳数和失败关闭策略。</w:t>
      </w:r>
    </w:p>
    <w:p>
      <w:pPr>
        <w:spacing w:before="200" w:after="100"/>
      </w:pPr>
      <w:r>
        <w:rPr>
          <w:rFonts w:ascii="Noto Sans CJK SC" w:hAnsi="Noto Sans CJK SC" w:eastAsia="Noto Sans CJK SC"/>
          <w:b/>
          <w:i w:val="0"/>
          <w:color w:val="17365D"/>
          <w:sz w:val="26"/>
        </w:rPr>
        <w:t>4.2 Baseline 递进路线</w:t>
      </w:r>
    </w:p>
    <w:p>
      <w:pPr>
        <w:jc w:val="center"/>
      </w:pPr>
      <w:r>
        <w:drawing>
          <wp:inline xmlns:a="http://schemas.openxmlformats.org/drawingml/2006/main" xmlns:pic="http://schemas.openxmlformats.org/drawingml/2006/picture">
            <wp:extent cx="5940000" cy="2376000"/>
            <wp:docPr id="2" name="Picture 2"/>
            <wp:cNvGraphicFramePr>
              <a:graphicFrameLocks noChangeAspect="1"/>
            </wp:cNvGraphicFramePr>
            <a:graphic>
              <a:graphicData uri="http://schemas.openxmlformats.org/drawingml/2006/picture">
                <pic:pic>
                  <pic:nvPicPr>
                    <pic:cNvPr id="0" name="baseline_roadmap.png"/>
                    <pic:cNvPicPr/>
                  </pic:nvPicPr>
                  <pic:blipFill>
                    <a:blip r:embed="rId12"/>
                    <a:stretch>
                      <a:fillRect/>
                    </a:stretch>
                  </pic:blipFill>
                  <pic:spPr>
                    <a:xfrm>
                      <a:off x="0" y="0"/>
                      <a:ext cx="5940000" cy="2376000"/>
                    </a:xfrm>
                    <a:prstGeom prst="rect"/>
                  </pic:spPr>
                </pic:pic>
              </a:graphicData>
            </a:graphic>
          </wp:inline>
        </w:drawing>
      </w:r>
    </w:p>
    <w:p>
      <w:pPr>
        <w:spacing w:after="100"/>
        <w:jc w:val="center"/>
      </w:pPr>
      <w:r>
        <w:rPr>
          <w:rFonts w:ascii="Noto Serif CJK SC" w:hAnsi="Noto Serif CJK SC" w:eastAsia="Noto Serif CJK SC"/>
          <w:b w:val="0"/>
          <w:i/>
          <w:color w:val="666666"/>
          <w:sz w:val="18"/>
        </w:rPr>
        <w:t>图 2 RegRAG B0-B7 递进建设路线</w:t>
      </w:r>
    </w:p>
    <w:p>
      <w:pPr>
        <w:spacing w:line="293" w:lineRule="auto" w:after="80"/>
        <w:ind w:firstLine="420"/>
      </w:pPr>
      <w:r>
        <w:rPr>
          <w:rFonts w:ascii="Noto Serif CJK SC" w:hAnsi="Noto Serif CJK SC" w:eastAsia="Noto Serif CJK SC"/>
          <w:b w:val="0"/>
          <w:i w:val="0"/>
          <w:color w:val="1F1F1F"/>
          <w:sz w:val="21"/>
        </w:rPr>
        <w:t>第二周必须冻结 B3 Hybrid RRF 作为统一基础线。B4-B6 构成比赛主系统，B7 仅在 B3-B6 稳定后加入多跳编排。每一级只能增加一类核心能力，并固定数据版本、解析结果、模型和评测脚本，保证增益可以归因。</w:t>
      </w:r>
    </w:p>
    <w:p>
      <w:pPr>
        <w:spacing w:before="280" w:after="140"/>
        <w:pBdr>
          <w:bottom w:val="single" w:sz="12" w:color="17365D"/>
        </w:pBdr>
      </w:pPr>
      <w:r>
        <w:rPr>
          <w:rFonts w:ascii="Noto Sans CJK SC" w:hAnsi="Noto Sans CJK SC" w:eastAsia="Noto Sans CJK SC"/>
          <w:b/>
          <w:i w:val="0"/>
          <w:color w:val="17365D"/>
          <w:sz w:val="32"/>
        </w:rPr>
        <w:t>5 接口与工程规范交付</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701"/>
            <w:vAlign w:val="center"/>
            <w:tcMar>
              <w:top w:w="80" w:type="dxa"/>
              <w:start w:w="90" w:type="dxa"/>
              <w:bottom w:w="80" w:type="dxa"/>
              <w:end w:w="90" w:type="dxa"/>
            </w:tcMar>
            <w:shd w:fill="17365D"/>
          </w:tcPr>
          <w:p>
            <w:pPr>
              <w:spacing w:after="0" w:line="252" w:lineRule="auto"/>
              <w:jc w:val="center"/>
            </w:pPr>
            <w:r/>
            <w:r>
              <w:rPr>
                <w:rFonts w:ascii="Noto Serif CJK SC" w:hAnsi="Noto Serif CJK SC" w:eastAsia="Noto Serif CJK SC"/>
                <w:b/>
                <w:i w:val="0"/>
                <w:color w:val="FFFFFF"/>
                <w:sz w:val="17"/>
              </w:rPr>
              <w:t>对象</w:t>
            </w:r>
          </w:p>
        </w:tc>
        <w:tc>
          <w:tcPr>
            <w:tcW w:type="dxa" w:w="4535"/>
            <w:vAlign w:val="center"/>
            <w:tcMar>
              <w:top w:w="80" w:type="dxa"/>
              <w:start w:w="90" w:type="dxa"/>
              <w:bottom w:w="80" w:type="dxa"/>
              <w:end w:w="90" w:type="dxa"/>
            </w:tcMar>
            <w:shd w:fill="17365D"/>
          </w:tcPr>
          <w:p>
            <w:pPr>
              <w:spacing w:after="0" w:line="252" w:lineRule="auto"/>
              <w:jc w:val="center"/>
            </w:pPr>
            <w:r/>
            <w:r>
              <w:rPr>
                <w:rFonts w:ascii="Noto Serif CJK SC" w:hAnsi="Noto Serif CJK SC" w:eastAsia="Noto Serif CJK SC"/>
                <w:b/>
                <w:i w:val="0"/>
                <w:color w:val="FFFFFF"/>
                <w:sz w:val="17"/>
              </w:rPr>
              <w:t>职责</w:t>
            </w:r>
          </w:p>
        </w:tc>
        <w:tc>
          <w:tcPr>
            <w:tcW w:type="dxa" w:w="2948"/>
            <w:vAlign w:val="center"/>
            <w:tcMar>
              <w:top w:w="80" w:type="dxa"/>
              <w:start w:w="90" w:type="dxa"/>
              <w:bottom w:w="80" w:type="dxa"/>
              <w:end w:w="90" w:type="dxa"/>
            </w:tcMar>
            <w:shd w:fill="17365D"/>
          </w:tcPr>
          <w:p>
            <w:pPr>
              <w:spacing w:after="0" w:line="252" w:lineRule="auto"/>
              <w:jc w:val="center"/>
            </w:pPr>
            <w:r/>
            <w:r>
              <w:rPr>
                <w:rFonts w:ascii="Noto Serif CJK SC" w:hAnsi="Noto Serif CJK SC" w:eastAsia="Noto Serif CJK SC"/>
                <w:b/>
                <w:i w:val="0"/>
                <w:color w:val="FFFFFF"/>
                <w:sz w:val="17"/>
              </w:rPr>
              <w:t>交付文件</w:t>
            </w:r>
          </w:p>
        </w:tc>
      </w:tr>
      <w:tr>
        <w:trPr>
          <w:cantSplit/>
        </w:trPr>
        <w:tc>
          <w:tcPr>
            <w:tcW w:type="dxa" w:w="1701"/>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QueryPlan</w:t>
            </w:r>
          </w:p>
        </w:tc>
        <w:tc>
          <w:tcPr>
            <w:tcW w:type="dxa" w:w="453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问题类型、槽位、澄清、多跳、路由计划</w:t>
            </w:r>
          </w:p>
        </w:tc>
        <w:tc>
          <w:tcPr>
            <w:tcW w:type="dxa" w:w="2948"/>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query_plan.schema.json</w:t>
            </w:r>
          </w:p>
        </w:tc>
      </w:tr>
      <w:tr>
        <w:trPr>
          <w:cantSplit/>
        </w:trPr>
        <w:tc>
          <w:tcPr>
            <w:tcW w:type="dxa" w:w="1701"/>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EvidenceRecord</w:t>
            </w:r>
          </w:p>
        </w:tc>
        <w:tc>
          <w:tcPr>
            <w:tcW w:type="dxa" w:w="453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来源、位置、表格语义、版本、质量状态</w:t>
            </w:r>
          </w:p>
        </w:tc>
        <w:tc>
          <w:tcPr>
            <w:tcW w:type="dxa" w:w="2948"/>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evidence_record.schema.json</w:t>
            </w:r>
          </w:p>
        </w:tc>
      </w:tr>
      <w:tr>
        <w:trPr>
          <w:cantSplit/>
        </w:trPr>
        <w:tc>
          <w:tcPr>
            <w:tcW w:type="dxa" w:w="1701"/>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AnswerResponse</w:t>
            </w:r>
          </w:p>
        </w:tc>
        <w:tc>
          <w:tcPr>
            <w:tcW w:type="dxa" w:w="453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赛题 8 字段、状态、引用、拒答原因、Trace</w:t>
            </w:r>
          </w:p>
        </w:tc>
        <w:tc>
          <w:tcPr>
            <w:tcW w:type="dxa" w:w="2948"/>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answer_response.schema.json</w:t>
            </w:r>
          </w:p>
        </w:tc>
      </w:tr>
      <w:tr>
        <w:trPr>
          <w:cantSplit/>
        </w:trPr>
        <w:tc>
          <w:tcPr>
            <w:tcW w:type="dxa" w:w="1701"/>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TraceRecord</w:t>
            </w:r>
          </w:p>
        </w:tc>
        <w:tc>
          <w:tcPr>
            <w:tcW w:type="dxa" w:w="453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模块步骤、输入输出引用、耗时、状态、成本</w:t>
            </w:r>
          </w:p>
        </w:tc>
        <w:tc>
          <w:tcPr>
            <w:tcW w:type="dxa" w:w="2948"/>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trace_record.schema.json</w:t>
            </w:r>
          </w:p>
        </w:tc>
      </w:tr>
    </w:tbl>
    <w:p>
      <w:pPr>
        <w:spacing w:after="40"/>
      </w:pPr>
    </w:p>
    <w:p>
      <w:pPr>
        <w:spacing w:line="293" w:lineRule="auto" w:after="80"/>
        <w:ind w:firstLine="420"/>
      </w:pPr>
      <w:r>
        <w:rPr>
          <w:rFonts w:ascii="Noto Serif CJK SC" w:hAnsi="Noto Serif CJK SC" w:eastAsia="Noto Serif CJK SC"/>
          <w:b w:val="0"/>
          <w:i w:val="0"/>
          <w:color w:val="1F1F1F"/>
          <w:sz w:val="21"/>
        </w:rPr>
        <w:t>详细模块边界、代码目录和版本规则见交付包中的《02_系统接口说明_V1.0.md》。接口冻结不等于实现完成；第二周任何解析器、检索器和生成器均应优先通过 Schema 校验和 10 条样例联调。</w:t>
      </w:r>
    </w:p>
    <w:p>
      <w:pPr>
        <w:spacing w:before="200" w:after="100"/>
      </w:pPr>
      <w:r>
        <w:rPr>
          <w:rFonts w:ascii="Noto Sans CJK SC" w:hAnsi="Noto Sans CJK SC" w:eastAsia="Noto Sans CJK SC"/>
          <w:b/>
          <w:i w:val="0"/>
          <w:color w:val="17365D"/>
          <w:sz w:val="26"/>
        </w:rPr>
        <w:t>5.1 统一仓库建议</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515"/>
            <w:vAlign w:val="center"/>
            <w:tcMar>
              <w:top w:w="80" w:type="dxa"/>
              <w:start w:w="90" w:type="dxa"/>
              <w:bottom w:w="80" w:type="dxa"/>
              <w:end w:w="90" w:type="dxa"/>
            </w:tcMar>
            <w:shd w:fill="17365D"/>
          </w:tcPr>
          <w:p>
            <w:pPr>
              <w:spacing w:after="0" w:line="252" w:lineRule="auto"/>
              <w:jc w:val="center"/>
            </w:pPr>
            <w:r/>
            <w:r>
              <w:rPr>
                <w:rFonts w:ascii="Noto Serif CJK SC" w:hAnsi="Noto Serif CJK SC" w:eastAsia="Noto Serif CJK SC"/>
                <w:b/>
                <w:i w:val="0"/>
                <w:color w:val="FFFFFF"/>
                <w:sz w:val="17"/>
              </w:rPr>
              <w:t>目录</w:t>
            </w:r>
          </w:p>
        </w:tc>
        <w:tc>
          <w:tcPr>
            <w:tcW w:type="dxa" w:w="5783"/>
            <w:vAlign w:val="center"/>
            <w:tcMar>
              <w:top w:w="80" w:type="dxa"/>
              <w:start w:w="90" w:type="dxa"/>
              <w:bottom w:w="80" w:type="dxa"/>
              <w:end w:w="90" w:type="dxa"/>
            </w:tcMar>
            <w:shd w:fill="17365D"/>
          </w:tcPr>
          <w:p>
            <w:pPr>
              <w:spacing w:after="0" w:line="252" w:lineRule="auto"/>
              <w:jc w:val="center"/>
            </w:pPr>
            <w:r/>
            <w:r>
              <w:rPr>
                <w:rFonts w:ascii="Noto Serif CJK SC" w:hAnsi="Noto Serif CJK SC" w:eastAsia="Noto Serif CJK SC"/>
                <w:b/>
                <w:i w:val="0"/>
                <w:color w:val="FFFFFF"/>
                <w:sz w:val="17"/>
              </w:rPr>
              <w:t>职责</w:t>
            </w:r>
          </w:p>
        </w:tc>
      </w:tr>
      <w:tr>
        <w:trPr>
          <w:cantSplit/>
        </w:trPr>
        <w:tc>
          <w:tcPr>
            <w:tcW w:type="dxa" w:w="351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src/regrag/ingestion</w:t>
            </w:r>
          </w:p>
        </w:tc>
        <w:tc>
          <w:tcPr>
            <w:tcW w:type="dxa" w:w="5783"/>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Word/PDF/Excel 解析和 Manifest</w:t>
            </w:r>
          </w:p>
        </w:tc>
      </w:tr>
      <w:tr>
        <w:trPr>
          <w:cantSplit/>
        </w:trPr>
        <w:tc>
          <w:tcPr>
            <w:tcW w:type="dxa" w:w="351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src/regrag/evidence</w:t>
            </w:r>
          </w:p>
        </w:tc>
        <w:tc>
          <w:tcPr>
            <w:tcW w:type="dxa" w:w="5783"/>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EvidenceRecord、存储、版本与质量</w:t>
            </w:r>
          </w:p>
        </w:tc>
      </w:tr>
      <w:tr>
        <w:trPr>
          <w:cantSplit/>
        </w:trPr>
        <w:tc>
          <w:tcPr>
            <w:tcW w:type="dxa" w:w="351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src/regrag/retrieval</w:t>
            </w:r>
          </w:p>
        </w:tc>
        <w:tc>
          <w:tcPr>
            <w:tcW w:type="dxa" w:w="5783"/>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BM25、Dense、Metadata、Table Retriever</w:t>
            </w:r>
          </w:p>
        </w:tc>
      </w:tr>
      <w:tr>
        <w:trPr>
          <w:cantSplit/>
        </w:trPr>
        <w:tc>
          <w:tcPr>
            <w:tcW w:type="dxa" w:w="351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src/regrag/ranking</w:t>
            </w:r>
          </w:p>
        </w:tc>
        <w:tc>
          <w:tcPr>
            <w:tcW w:type="dxa" w:w="5783"/>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RRF、Reranker、证据裁剪</w:t>
            </w:r>
          </w:p>
        </w:tc>
      </w:tr>
      <w:tr>
        <w:trPr>
          <w:cantSplit/>
        </w:trPr>
        <w:tc>
          <w:tcPr>
            <w:tcW w:type="dxa" w:w="351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src/regrag/routing</w:t>
            </w:r>
          </w:p>
        </w:tc>
        <w:tc>
          <w:tcPr>
            <w:tcW w:type="dxa" w:w="5783"/>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问题分类和有限状态多跳</w:t>
            </w:r>
          </w:p>
        </w:tc>
      </w:tr>
      <w:tr>
        <w:trPr>
          <w:cantSplit/>
        </w:trPr>
        <w:tc>
          <w:tcPr>
            <w:tcW w:type="dxa" w:w="351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src/regrag/tools</w:t>
            </w:r>
          </w:p>
        </w:tc>
        <w:tc>
          <w:tcPr>
            <w:tcW w:type="dxa" w:w="5783"/>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Python/Pandas 确定性计算</w:t>
            </w:r>
          </w:p>
        </w:tc>
      </w:tr>
      <w:tr>
        <w:trPr>
          <w:cantSplit/>
        </w:trPr>
        <w:tc>
          <w:tcPr>
            <w:tcW w:type="dxa" w:w="351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src/regrag/generation</w:t>
            </w:r>
          </w:p>
        </w:tc>
        <w:tc>
          <w:tcPr>
            <w:tcW w:type="dxa" w:w="5783"/>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受约束生成和引用格式</w:t>
            </w:r>
          </w:p>
        </w:tc>
      </w:tr>
      <w:tr>
        <w:trPr>
          <w:cantSplit/>
        </w:trPr>
        <w:tc>
          <w:tcPr>
            <w:tcW w:type="dxa" w:w="351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src/regrag/validation</w:t>
            </w:r>
          </w:p>
        </w:tc>
        <w:tc>
          <w:tcPr>
            <w:tcW w:type="dxa" w:w="5783"/>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Evidence Gate 和关键要素核验</w:t>
            </w:r>
          </w:p>
        </w:tc>
      </w:tr>
      <w:tr>
        <w:trPr>
          <w:cantSplit/>
        </w:trPr>
        <w:tc>
          <w:tcPr>
            <w:tcW w:type="dxa" w:w="351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src/regrag/evaluation</w:t>
            </w:r>
          </w:p>
        </w:tc>
        <w:tc>
          <w:tcPr>
            <w:tcW w:type="dxa" w:w="5783"/>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qrels、指标和运行日志</w:t>
            </w:r>
          </w:p>
        </w:tc>
      </w:tr>
    </w:tbl>
    <w:p>
      <w:pPr>
        <w:spacing w:after="40"/>
      </w:pPr>
    </w:p>
    <w:p>
      <w:pPr>
        <w:pStyle w:val="ListBullet"/>
        <w:spacing w:after="40" w:line="269" w:lineRule="auto"/>
      </w:pPr>
      <w:r>
        <w:rPr>
          <w:rFonts w:ascii="Noto Serif CJK SC" w:hAnsi="Noto Serif CJK SC" w:eastAsia="Noto Serif CJK SC"/>
          <w:b w:val="0"/>
          <w:i w:val="0"/>
          <w:color w:val="1F1F1F"/>
          <w:sz w:val="20"/>
        </w:rPr>
        <w:t>外部开源项目只能作为参考或依赖，必须保留许可证和改动说明。</w:t>
      </w:r>
    </w:p>
    <w:p>
      <w:pPr>
        <w:pStyle w:val="ListBullet"/>
        <w:spacing w:after="40" w:line="269" w:lineRule="auto"/>
      </w:pPr>
      <w:r>
        <w:rPr>
          <w:rFonts w:ascii="Noto Serif CJK SC" w:hAnsi="Noto Serif CJK SC" w:eastAsia="Noto Serif CJK SC"/>
          <w:b w:val="0"/>
          <w:i w:val="0"/>
          <w:color w:val="1F1F1F"/>
          <w:sz w:val="20"/>
        </w:rPr>
        <w:t>提交仓库清除 __pycache__、.pytest_cache、.ruff_cache、模型缓存、API Key 和无关资源。</w:t>
      </w:r>
    </w:p>
    <w:p>
      <w:pPr>
        <w:pStyle w:val="ListBullet"/>
        <w:spacing w:after="40" w:line="269" w:lineRule="auto"/>
      </w:pPr>
      <w:r>
        <w:rPr>
          <w:rFonts w:ascii="Noto Serif CJK SC" w:hAnsi="Noto Serif CJK SC" w:eastAsia="Noto Serif CJK SC"/>
          <w:b w:val="0"/>
          <w:i w:val="0"/>
          <w:color w:val="1F1F1F"/>
          <w:sz w:val="20"/>
        </w:rPr>
        <w:t>主分支只接受通过 Schema、单元测试和最小端到端用例的合并请求。</w:t>
      </w:r>
    </w:p>
    <w:p>
      <w:pPr>
        <w:spacing w:before="280" w:after="140"/>
        <w:pBdr>
          <w:bottom w:val="single" w:sz="12" w:color="17365D"/>
        </w:pBdr>
      </w:pPr>
      <w:r>
        <w:rPr>
          <w:rFonts w:ascii="Noto Sans CJK SC" w:hAnsi="Noto Sans CJK SC" w:eastAsia="Noto Sans CJK SC"/>
          <w:b/>
          <w:i w:val="0"/>
          <w:color w:val="17365D"/>
          <w:sz w:val="32"/>
        </w:rPr>
        <w:t>6 第一周问题清单与第二周封板任务</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680"/>
            <w:vAlign w:val="center"/>
            <w:tcMar>
              <w:top w:w="80" w:type="dxa"/>
              <w:start w:w="90" w:type="dxa"/>
              <w:bottom w:w="80" w:type="dxa"/>
              <w:end w:w="90" w:type="dxa"/>
            </w:tcMar>
            <w:shd w:fill="17365D"/>
          </w:tcPr>
          <w:p>
            <w:pPr>
              <w:spacing w:after="0" w:line="252" w:lineRule="auto"/>
              <w:jc w:val="center"/>
            </w:pPr>
            <w:r/>
            <w:r>
              <w:rPr>
                <w:rFonts w:ascii="Noto Serif CJK SC" w:hAnsi="Noto Serif CJK SC" w:eastAsia="Noto Serif CJK SC"/>
                <w:b/>
                <w:i w:val="0"/>
                <w:color w:val="FFFFFF"/>
                <w:sz w:val="16"/>
              </w:rPr>
              <w:t>编号</w:t>
            </w:r>
          </w:p>
        </w:tc>
        <w:tc>
          <w:tcPr>
            <w:tcW w:type="dxa" w:w="850"/>
            <w:vAlign w:val="center"/>
            <w:tcMar>
              <w:top w:w="80" w:type="dxa"/>
              <w:start w:w="90" w:type="dxa"/>
              <w:bottom w:w="80" w:type="dxa"/>
              <w:end w:w="90" w:type="dxa"/>
            </w:tcMar>
            <w:shd w:fill="17365D"/>
          </w:tcPr>
          <w:p>
            <w:pPr>
              <w:spacing w:after="0" w:line="252" w:lineRule="auto"/>
              <w:jc w:val="center"/>
            </w:pPr>
            <w:r/>
            <w:r>
              <w:rPr>
                <w:rFonts w:ascii="Noto Serif CJK SC" w:hAnsi="Noto Serif CJK SC" w:eastAsia="Noto Serif CJK SC"/>
                <w:b/>
                <w:i w:val="0"/>
                <w:color w:val="FFFFFF"/>
                <w:sz w:val="16"/>
              </w:rPr>
              <w:t>类别</w:t>
            </w:r>
          </w:p>
        </w:tc>
        <w:tc>
          <w:tcPr>
            <w:tcW w:type="dxa" w:w="5102"/>
            <w:vAlign w:val="center"/>
            <w:tcMar>
              <w:top w:w="80" w:type="dxa"/>
              <w:start w:w="90" w:type="dxa"/>
              <w:bottom w:w="80" w:type="dxa"/>
              <w:end w:w="90" w:type="dxa"/>
            </w:tcMar>
            <w:shd w:fill="17365D"/>
          </w:tcPr>
          <w:p>
            <w:pPr>
              <w:spacing w:after="0" w:line="252" w:lineRule="auto"/>
              <w:jc w:val="center"/>
            </w:pPr>
            <w:r/>
            <w:r>
              <w:rPr>
                <w:rFonts w:ascii="Noto Serif CJK SC" w:hAnsi="Noto Serif CJK SC" w:eastAsia="Noto Serif CJK SC"/>
                <w:b/>
                <w:i w:val="0"/>
                <w:color w:val="FFFFFF"/>
                <w:sz w:val="16"/>
              </w:rPr>
              <w:t>问题</w:t>
            </w:r>
          </w:p>
        </w:tc>
        <w:tc>
          <w:tcPr>
            <w:tcW w:type="dxa" w:w="907"/>
            <w:vAlign w:val="center"/>
            <w:tcMar>
              <w:top w:w="80" w:type="dxa"/>
              <w:start w:w="90" w:type="dxa"/>
              <w:bottom w:w="80" w:type="dxa"/>
              <w:end w:w="90" w:type="dxa"/>
            </w:tcMar>
            <w:shd w:fill="17365D"/>
          </w:tcPr>
          <w:p>
            <w:pPr>
              <w:spacing w:after="0" w:line="252" w:lineRule="auto"/>
              <w:jc w:val="center"/>
            </w:pPr>
            <w:r/>
            <w:r>
              <w:rPr>
                <w:rFonts w:ascii="Noto Serif CJK SC" w:hAnsi="Noto Serif CJK SC" w:eastAsia="Noto Serif CJK SC"/>
                <w:b/>
                <w:i w:val="0"/>
                <w:color w:val="FFFFFF"/>
                <w:sz w:val="16"/>
              </w:rPr>
              <w:t>优先级</w:t>
            </w:r>
          </w:p>
        </w:tc>
        <w:tc>
          <w:tcPr>
            <w:tcW w:type="dxa" w:w="1701"/>
            <w:vAlign w:val="center"/>
            <w:tcMar>
              <w:top w:w="80" w:type="dxa"/>
              <w:start w:w="90" w:type="dxa"/>
              <w:bottom w:w="80" w:type="dxa"/>
              <w:end w:w="90" w:type="dxa"/>
            </w:tcMar>
            <w:shd w:fill="17365D"/>
          </w:tcPr>
          <w:p>
            <w:pPr>
              <w:spacing w:after="0" w:line="252" w:lineRule="auto"/>
              <w:jc w:val="center"/>
            </w:pPr>
            <w:r/>
            <w:r>
              <w:rPr>
                <w:rFonts w:ascii="Noto Serif CJK SC" w:hAnsi="Noto Serif CJK SC" w:eastAsia="Noto Serif CJK SC"/>
                <w:b/>
                <w:i w:val="0"/>
                <w:color w:val="FFFFFF"/>
                <w:sz w:val="16"/>
              </w:rPr>
              <w:t>负责人</w:t>
            </w:r>
          </w:p>
        </w:tc>
      </w:tr>
      <w:tr>
        <w:trPr>
          <w:cantSplit/>
        </w:trPr>
        <w:tc>
          <w:tcPr>
            <w:tcW w:type="dxa" w:w="68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I-01</w:t>
            </w:r>
          </w:p>
        </w:tc>
        <w:tc>
          <w:tcPr>
            <w:tcW w:type="dxa" w:w="85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数据</w:t>
            </w:r>
          </w:p>
        </w:tc>
        <w:tc>
          <w:tcPr>
            <w:tcW w:type="dxa" w:w="5102"/>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Excel 单位为 Sheet 级混合值，可能同时标到金额与比例</w:t>
            </w:r>
          </w:p>
        </w:tc>
        <w:tc>
          <w:tcPr>
            <w:tcW w:type="dxa" w:w="907"/>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P0</w:t>
            </w:r>
          </w:p>
        </w:tc>
        <w:tc>
          <w:tcPr>
            <w:tcW w:type="dxa" w:w="1701"/>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罗佳佳</w:t>
            </w:r>
          </w:p>
        </w:tc>
      </w:tr>
      <w:tr>
        <w:trPr>
          <w:cantSplit/>
        </w:trPr>
        <w:tc>
          <w:tcPr>
            <w:tcW w:type="dxa" w:w="68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I-02</w:t>
            </w:r>
          </w:p>
        </w:tc>
        <w:tc>
          <w:tcPr>
            <w:tcW w:type="dxa" w:w="85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数据</w:t>
            </w:r>
          </w:p>
        </w:tc>
        <w:tc>
          <w:tcPr>
            <w:tcW w:type="dxa" w:w="5102"/>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Header Path 在同一年度不同列不一致</w:t>
            </w:r>
          </w:p>
        </w:tc>
        <w:tc>
          <w:tcPr>
            <w:tcW w:type="dxa" w:w="907"/>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P0</w:t>
            </w:r>
          </w:p>
        </w:tc>
        <w:tc>
          <w:tcPr>
            <w:tcW w:type="dxa" w:w="1701"/>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罗佳佳</w:t>
            </w:r>
          </w:p>
        </w:tc>
      </w:tr>
      <w:tr>
        <w:trPr>
          <w:cantSplit/>
        </w:trPr>
        <w:tc>
          <w:tcPr>
            <w:tcW w:type="dxa" w:w="68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I-03</w:t>
            </w:r>
          </w:p>
        </w:tc>
        <w:tc>
          <w:tcPr>
            <w:tcW w:type="dxa" w:w="85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数据</w:t>
            </w:r>
          </w:p>
        </w:tc>
        <w:tc>
          <w:tcPr>
            <w:tcW w:type="dxa" w:w="5102"/>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32 份旧版 DOC 版面结构无法保证</w:t>
            </w:r>
          </w:p>
        </w:tc>
        <w:tc>
          <w:tcPr>
            <w:tcW w:type="dxa" w:w="907"/>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P0</w:t>
            </w:r>
          </w:p>
        </w:tc>
        <w:tc>
          <w:tcPr>
            <w:tcW w:type="dxa" w:w="1701"/>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罗佳佳</w:t>
            </w:r>
          </w:p>
        </w:tc>
      </w:tr>
      <w:tr>
        <w:trPr>
          <w:cantSplit/>
        </w:trPr>
        <w:tc>
          <w:tcPr>
            <w:tcW w:type="dxa" w:w="68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I-04</w:t>
            </w:r>
          </w:p>
        </w:tc>
        <w:tc>
          <w:tcPr>
            <w:tcW w:type="dxa" w:w="85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数据</w:t>
            </w:r>
          </w:p>
        </w:tc>
        <w:tc>
          <w:tcPr>
            <w:tcW w:type="dxa" w:w="5102"/>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84 份附件未可靠关联主文档</w:t>
            </w:r>
          </w:p>
        </w:tc>
        <w:tc>
          <w:tcPr>
            <w:tcW w:type="dxa" w:w="907"/>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P1</w:t>
            </w:r>
          </w:p>
        </w:tc>
        <w:tc>
          <w:tcPr>
            <w:tcW w:type="dxa" w:w="1701"/>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罗佳佳/陈伦禄</w:t>
            </w:r>
          </w:p>
        </w:tc>
      </w:tr>
      <w:tr>
        <w:trPr>
          <w:cantSplit/>
        </w:trPr>
        <w:tc>
          <w:tcPr>
            <w:tcW w:type="dxa" w:w="68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I-05</w:t>
            </w:r>
          </w:p>
        </w:tc>
        <w:tc>
          <w:tcPr>
            <w:tcW w:type="dxa" w:w="85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评测</w:t>
            </w:r>
          </w:p>
        </w:tc>
        <w:tc>
          <w:tcPr>
            <w:tcW w:type="dxa" w:w="5102"/>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323 题中事实题占比过高，跨文件仅 5 题</w:t>
            </w:r>
          </w:p>
        </w:tc>
        <w:tc>
          <w:tcPr>
            <w:tcW w:type="dxa" w:w="907"/>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P0</w:t>
            </w:r>
          </w:p>
        </w:tc>
        <w:tc>
          <w:tcPr>
            <w:tcW w:type="dxa" w:w="1701"/>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杨怡睿</w:t>
            </w:r>
          </w:p>
        </w:tc>
      </w:tr>
      <w:tr>
        <w:trPr>
          <w:cantSplit/>
        </w:trPr>
        <w:tc>
          <w:tcPr>
            <w:tcW w:type="dxa" w:w="68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I-06</w:t>
            </w:r>
          </w:p>
        </w:tc>
        <w:tc>
          <w:tcPr>
            <w:tcW w:type="dxa" w:w="85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评测</w:t>
            </w:r>
          </w:p>
        </w:tc>
        <w:tc>
          <w:tcPr>
            <w:tcW w:type="dxa" w:w="5102"/>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30 组重复问题模板，27 条 qa_type 缺失</w:t>
            </w:r>
          </w:p>
        </w:tc>
        <w:tc>
          <w:tcPr>
            <w:tcW w:type="dxa" w:w="907"/>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P0</w:t>
            </w:r>
          </w:p>
        </w:tc>
        <w:tc>
          <w:tcPr>
            <w:tcW w:type="dxa" w:w="1701"/>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杨怡睿</w:t>
            </w:r>
          </w:p>
        </w:tc>
      </w:tr>
      <w:tr>
        <w:trPr>
          <w:cantSplit/>
        </w:trPr>
        <w:tc>
          <w:tcPr>
            <w:tcW w:type="dxa" w:w="68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I-07</w:t>
            </w:r>
          </w:p>
        </w:tc>
        <w:tc>
          <w:tcPr>
            <w:tcW w:type="dxa" w:w="85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评测</w:t>
            </w:r>
          </w:p>
        </w:tc>
        <w:tc>
          <w:tcPr>
            <w:tcW w:type="dxa" w:w="5102"/>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Excel evidence 缺少 Sheet/Cell 精确 qrels</w:t>
            </w:r>
          </w:p>
        </w:tc>
        <w:tc>
          <w:tcPr>
            <w:tcW w:type="dxa" w:w="907"/>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P0</w:t>
            </w:r>
          </w:p>
        </w:tc>
        <w:tc>
          <w:tcPr>
            <w:tcW w:type="dxa" w:w="1701"/>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杨怡睿/罗佳佳</w:t>
            </w:r>
          </w:p>
        </w:tc>
      </w:tr>
      <w:tr>
        <w:trPr>
          <w:cantSplit/>
        </w:trPr>
        <w:tc>
          <w:tcPr>
            <w:tcW w:type="dxa" w:w="68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I-08</w:t>
            </w:r>
          </w:p>
        </w:tc>
        <w:tc>
          <w:tcPr>
            <w:tcW w:type="dxa" w:w="85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代码</w:t>
            </w:r>
          </w:p>
        </w:tc>
        <w:tc>
          <w:tcPr>
            <w:tcW w:type="dxa" w:w="5102"/>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没有本项目 B1/B2/B3 运行结果</w:t>
            </w:r>
          </w:p>
        </w:tc>
        <w:tc>
          <w:tcPr>
            <w:tcW w:type="dxa" w:w="907"/>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P0</w:t>
            </w:r>
          </w:p>
        </w:tc>
        <w:tc>
          <w:tcPr>
            <w:tcW w:type="dxa" w:w="1701"/>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程仁杰</w:t>
            </w:r>
          </w:p>
        </w:tc>
      </w:tr>
      <w:tr>
        <w:trPr>
          <w:cantSplit/>
        </w:trPr>
        <w:tc>
          <w:tcPr>
            <w:tcW w:type="dxa" w:w="68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I-09</w:t>
            </w:r>
          </w:p>
        </w:tc>
        <w:tc>
          <w:tcPr>
            <w:tcW w:type="dxa" w:w="85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代码</w:t>
            </w:r>
          </w:p>
        </w:tc>
        <w:tc>
          <w:tcPr>
            <w:tcW w:type="dxa" w:w="5102"/>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解析包和在线代码包未集成</w:t>
            </w:r>
          </w:p>
        </w:tc>
        <w:tc>
          <w:tcPr>
            <w:tcW w:type="dxa" w:w="907"/>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P0</w:t>
            </w:r>
          </w:p>
        </w:tc>
        <w:tc>
          <w:tcPr>
            <w:tcW w:type="dxa" w:w="1701"/>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陈伦禄/程仁杰</w:t>
            </w:r>
          </w:p>
        </w:tc>
      </w:tr>
      <w:tr>
        <w:trPr>
          <w:cantSplit/>
        </w:trPr>
        <w:tc>
          <w:tcPr>
            <w:tcW w:type="dxa" w:w="68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I-10</w:t>
            </w:r>
          </w:p>
        </w:tc>
        <w:tc>
          <w:tcPr>
            <w:tcW w:type="dxa" w:w="85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文档</w:t>
            </w:r>
          </w:p>
        </w:tc>
        <w:tc>
          <w:tcPr>
            <w:tcW w:type="dxa" w:w="5102"/>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项目书存在空缺和无实验支撑的确定性表述</w:t>
            </w:r>
          </w:p>
        </w:tc>
        <w:tc>
          <w:tcPr>
            <w:tcW w:type="dxa" w:w="907"/>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P0</w:t>
            </w:r>
          </w:p>
        </w:tc>
        <w:tc>
          <w:tcPr>
            <w:tcW w:type="dxa" w:w="1701"/>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李静雯</w:t>
            </w:r>
          </w:p>
        </w:tc>
      </w:tr>
      <w:tr>
        <w:trPr>
          <w:cantSplit/>
        </w:trPr>
        <w:tc>
          <w:tcPr>
            <w:tcW w:type="dxa" w:w="68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I-11</w:t>
            </w:r>
          </w:p>
        </w:tc>
        <w:tc>
          <w:tcPr>
            <w:tcW w:type="dxa" w:w="85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管理</w:t>
            </w:r>
          </w:p>
        </w:tc>
        <w:tc>
          <w:tcPr>
            <w:tcW w:type="dxa" w:w="5102"/>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工作安排表状态未更新，不能反映实际完成度</w:t>
            </w:r>
          </w:p>
        </w:tc>
        <w:tc>
          <w:tcPr>
            <w:tcW w:type="dxa" w:w="907"/>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P1</w:t>
            </w:r>
          </w:p>
        </w:tc>
        <w:tc>
          <w:tcPr>
            <w:tcW w:type="dxa" w:w="1701"/>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陈伦禄</w:t>
            </w:r>
          </w:p>
        </w:tc>
      </w:tr>
      <w:tr>
        <w:trPr>
          <w:cantSplit/>
        </w:trPr>
        <w:tc>
          <w:tcPr>
            <w:tcW w:type="dxa" w:w="68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I-12</w:t>
            </w:r>
          </w:p>
        </w:tc>
        <w:tc>
          <w:tcPr>
            <w:tcW w:type="dxa" w:w="850"/>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参赛</w:t>
            </w:r>
          </w:p>
        </w:tc>
        <w:tc>
          <w:tcPr>
            <w:tcW w:type="dxa" w:w="5102"/>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报名状态与材料清单尚未提供审查</w:t>
            </w:r>
          </w:p>
        </w:tc>
        <w:tc>
          <w:tcPr>
            <w:tcW w:type="dxa" w:w="907"/>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P0</w:t>
            </w:r>
          </w:p>
        </w:tc>
        <w:tc>
          <w:tcPr>
            <w:tcW w:type="dxa" w:w="1701"/>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6"/>
              </w:rPr>
              <w:t>杨怡睿</w:t>
            </w:r>
          </w:p>
        </w:tc>
      </w:tr>
    </w:tbl>
    <w:p>
      <w:pPr>
        <w:spacing w:after="40"/>
      </w:pPr>
    </w:p>
    <w:p>
      <w:pPr>
        <w:spacing w:line="293" w:lineRule="auto" w:after="80"/>
        <w:ind w:firstLine="420"/>
      </w:pPr>
      <w:r>
        <w:rPr>
          <w:rFonts w:ascii="Noto Serif CJK SC" w:hAnsi="Noto Serif CJK SC" w:eastAsia="Noto Serif CJK SC"/>
          <w:b w:val="0"/>
          <w:i w:val="0"/>
          <w:color w:val="1F1F1F"/>
          <w:sz w:val="21"/>
        </w:rPr>
        <w:t>完整第二周 Issue、截止时间和验收条件见《03_第二周Issue清单.md》。第二周周末的唯一通过门槛是：在统一仓库中完成 B1/B2/B3，并使用相同 EvidenceRecord 和清洗后的评测集生成可复现对比结果。</w:t>
      </w:r>
    </w:p>
    <w:p>
      <w:pPr>
        <w:spacing w:before="280" w:after="140"/>
        <w:pBdr>
          <w:bottom w:val="single" w:sz="12" w:color="17365D"/>
        </w:pBdr>
      </w:pPr>
      <w:r>
        <w:rPr>
          <w:rFonts w:ascii="Noto Sans CJK SC" w:hAnsi="Noto Sans CJK SC" w:eastAsia="Noto Sans CJK SC"/>
          <w:b/>
          <w:i w:val="0"/>
          <w:color w:val="17365D"/>
          <w:sz w:val="32"/>
        </w:rPr>
        <w:t>7 第二周本人工作承诺</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247"/>
            <w:vAlign w:val="center"/>
            <w:tcMar>
              <w:top w:w="80" w:type="dxa"/>
              <w:start w:w="90" w:type="dxa"/>
              <w:bottom w:w="80" w:type="dxa"/>
              <w:end w:w="90" w:type="dxa"/>
            </w:tcMar>
            <w:shd w:fill="17365D"/>
          </w:tcPr>
          <w:p>
            <w:pPr>
              <w:spacing w:after="0" w:line="252" w:lineRule="auto"/>
              <w:jc w:val="center"/>
            </w:pPr>
            <w:r/>
            <w:r>
              <w:rPr>
                <w:rFonts w:ascii="Noto Serif CJK SC" w:hAnsi="Noto Serif CJK SC" w:eastAsia="Noto Serif CJK SC"/>
                <w:b/>
                <w:i w:val="0"/>
                <w:color w:val="FFFFFF"/>
                <w:sz w:val="17"/>
              </w:rPr>
              <w:t>日期</w:t>
            </w:r>
          </w:p>
        </w:tc>
        <w:tc>
          <w:tcPr>
            <w:tcW w:type="dxa" w:w="3402"/>
            <w:vAlign w:val="center"/>
            <w:tcMar>
              <w:top w:w="80" w:type="dxa"/>
              <w:start w:w="90" w:type="dxa"/>
              <w:bottom w:w="80" w:type="dxa"/>
              <w:end w:w="90" w:type="dxa"/>
            </w:tcMar>
            <w:shd w:fill="17365D"/>
          </w:tcPr>
          <w:p>
            <w:pPr>
              <w:spacing w:after="0" w:line="252" w:lineRule="auto"/>
              <w:jc w:val="center"/>
            </w:pPr>
            <w:r/>
            <w:r>
              <w:rPr>
                <w:rFonts w:ascii="Noto Serif CJK SC" w:hAnsi="Noto Serif CJK SC" w:eastAsia="Noto Serif CJK SC"/>
                <w:b/>
                <w:i w:val="0"/>
                <w:color w:val="FFFFFF"/>
                <w:sz w:val="17"/>
              </w:rPr>
              <w:t>本人任务</w:t>
            </w:r>
          </w:p>
        </w:tc>
        <w:tc>
          <w:tcPr>
            <w:tcW w:type="dxa" w:w="4649"/>
            <w:vAlign w:val="center"/>
            <w:tcMar>
              <w:top w:w="80" w:type="dxa"/>
              <w:start w:w="90" w:type="dxa"/>
              <w:bottom w:w="80" w:type="dxa"/>
              <w:end w:w="90" w:type="dxa"/>
            </w:tcMar>
            <w:shd w:fill="17365D"/>
          </w:tcPr>
          <w:p>
            <w:pPr>
              <w:spacing w:after="0" w:line="252" w:lineRule="auto"/>
              <w:jc w:val="center"/>
            </w:pPr>
            <w:r/>
            <w:r>
              <w:rPr>
                <w:rFonts w:ascii="Noto Serif CJK SC" w:hAnsi="Noto Serif CJK SC" w:eastAsia="Noto Serif CJK SC"/>
                <w:b/>
                <w:i w:val="0"/>
                <w:color w:val="FFFFFF"/>
                <w:sz w:val="17"/>
              </w:rPr>
              <w:t>验收标准</w:t>
            </w:r>
          </w:p>
        </w:tc>
      </w:tr>
      <w:tr>
        <w:trPr>
          <w:cantSplit/>
        </w:trPr>
        <w:tc>
          <w:tcPr>
            <w:tcW w:type="dxa" w:w="1247"/>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07-22</w:t>
            </w:r>
          </w:p>
        </w:tc>
        <w:tc>
          <w:tcPr>
            <w:tcW w:type="dxa" w:w="3402"/>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冻结 EvidenceRecord 和接口映射</w:t>
            </w:r>
          </w:p>
        </w:tc>
        <w:tc>
          <w:tcPr>
            <w:tcW w:type="dxa" w:w="464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解析与检索读取同一 Schema，10 条样例验证</w:t>
            </w:r>
          </w:p>
        </w:tc>
      </w:tr>
      <w:tr>
        <w:trPr>
          <w:cantSplit/>
        </w:trPr>
        <w:tc>
          <w:tcPr>
            <w:tcW w:type="dxa" w:w="1247"/>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07-23</w:t>
            </w:r>
          </w:p>
        </w:tc>
        <w:tc>
          <w:tcPr>
            <w:tcW w:type="dxa" w:w="3402"/>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建立统一仓库、分支与 CI 最小规则</w:t>
            </w:r>
          </w:p>
        </w:tc>
        <w:tc>
          <w:tcPr>
            <w:tcW w:type="dxa" w:w="464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README、目录、主分支、测试命令可用</w:t>
            </w:r>
          </w:p>
        </w:tc>
      </w:tr>
      <w:tr>
        <w:trPr>
          <w:cantSplit/>
        </w:trPr>
        <w:tc>
          <w:tcPr>
            <w:tcW w:type="dxa" w:w="1247"/>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07-24</w:t>
            </w:r>
          </w:p>
        </w:tc>
        <w:tc>
          <w:tcPr>
            <w:tcW w:type="dxa" w:w="3402"/>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完成解析输出到检索输入联调</w:t>
            </w:r>
          </w:p>
        </w:tc>
        <w:tc>
          <w:tcPr>
            <w:tcW w:type="dxa" w:w="464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Evidence 样例可直接进入 B1/B2，不做人工转换</w:t>
            </w:r>
          </w:p>
        </w:tc>
      </w:tr>
      <w:tr>
        <w:trPr>
          <w:cantSplit/>
        </w:trPr>
        <w:tc>
          <w:tcPr>
            <w:tcW w:type="dxa" w:w="1247"/>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07-25</w:t>
            </w:r>
          </w:p>
        </w:tc>
        <w:tc>
          <w:tcPr>
            <w:tcW w:type="dxa" w:w="3402"/>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协助完成 B3 Hybrid RRF</w:t>
            </w:r>
          </w:p>
        </w:tc>
        <w:tc>
          <w:tcPr>
            <w:tcW w:type="dxa" w:w="464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形成 B1/B2/B3 Recall 对比和 Top-K 日志</w:t>
            </w:r>
          </w:p>
        </w:tc>
      </w:tr>
      <w:tr>
        <w:trPr>
          <w:cantSplit/>
        </w:trPr>
        <w:tc>
          <w:tcPr>
            <w:tcW w:type="dxa" w:w="1247"/>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07-26</w:t>
            </w:r>
          </w:p>
        </w:tc>
        <w:tc>
          <w:tcPr>
            <w:tcW w:type="dxa" w:w="3402"/>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建立 Evidence Gate 草案与统一 Trace</w:t>
            </w:r>
          </w:p>
        </w:tc>
        <w:tc>
          <w:tcPr>
            <w:tcW w:type="dxa" w:w="464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至少支持充分/不足/冲突三态</w:t>
            </w:r>
          </w:p>
        </w:tc>
      </w:tr>
      <w:tr>
        <w:trPr>
          <w:cantSplit/>
        </w:trPr>
        <w:tc>
          <w:tcPr>
            <w:tcW w:type="dxa" w:w="1247"/>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07-27</w:t>
            </w:r>
          </w:p>
        </w:tc>
        <w:tc>
          <w:tcPr>
            <w:tcW w:type="dxa" w:w="3402"/>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主持端到端验收和错例复盘</w:t>
            </w:r>
          </w:p>
        </w:tc>
        <w:tc>
          <w:tcPr>
            <w:tcW w:type="dxa" w:w="464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10 制度题+10 表格题可运行，生成第二周报告</w:t>
            </w:r>
          </w:p>
        </w:tc>
      </w:tr>
    </w:tbl>
    <w:p>
      <w:pPr>
        <w:spacing w:after="40"/>
      </w:pPr>
    </w:p>
    <w:tbl>
      <w:tblPr>
        <w:tblW w:type="auto" w:w="0"/>
        <w:jc w:val="center"/>
        <w:tblLook w:firstColumn="1" w:firstRow="1" w:lastColumn="0" w:lastRow="0" w:noHBand="0" w:noVBand="1" w:val="04A0"/>
      </w:tblPr>
      <w:tblGrid>
        <w:gridCol w:w="9972"/>
      </w:tblGrid>
      <w:tr>
        <w:tc>
          <w:tcPr>
            <w:tcW w:type="dxa" w:w="9972"/>
            <w:shd w:fill="FFF2CC"/>
            <w:tcMar>
              <w:top w:w="140" w:type="dxa"/>
              <w:start w:w="160" w:type="dxa"/>
              <w:bottom w:w="140" w:type="dxa"/>
              <w:end w:w="160" w:type="dxa"/>
            </w:tcMar>
          </w:tcPr>
          <w:p>
            <w:pPr>
              <w:spacing w:after="60"/>
            </w:pPr>
            <w:r/>
            <w:r>
              <w:rPr>
                <w:rFonts w:ascii="Noto Sans CJK SC" w:hAnsi="Noto Sans CJK SC" w:eastAsia="Noto Sans CJK SC"/>
                <w:b/>
                <w:i w:val="0"/>
                <w:color w:val="17365D"/>
                <w:sz w:val="22"/>
              </w:rPr>
              <w:t>阻断规则</w:t>
            </w:r>
          </w:p>
          <w:p>
            <w:pPr>
              <w:spacing w:after="0" w:line="276" w:lineRule="auto"/>
            </w:pPr>
            <w:r>
              <w:rPr>
                <w:rFonts w:ascii="Noto Serif CJK SC" w:hAnsi="Noto Serif CJK SC" w:eastAsia="Noto Serif CJK SC"/>
                <w:b w:val="0"/>
                <w:i w:val="0"/>
                <w:color w:val="1F1F1F"/>
                <w:sz w:val="20"/>
              </w:rPr>
              <w:t>B3 未跑通、EvidenceRecord 未统一、20 题日志未形成之前，不进入完整 Agent 多跳开发，也不在项目书中使用“已实现智能体系统”的表述。</w:t>
            </w:r>
          </w:p>
        </w:tc>
      </w:tr>
    </w:tbl>
    <w:p>
      <w:pPr>
        <w:spacing w:after="40"/>
      </w:pPr>
    </w:p>
    <w:p>
      <w:pPr>
        <w:spacing w:before="280" w:after="140"/>
        <w:pBdr>
          <w:bottom w:val="single" w:sz="12" w:color="17365D"/>
        </w:pBdr>
      </w:pPr>
      <w:r>
        <w:rPr>
          <w:rFonts w:ascii="Noto Sans CJK SC" w:hAnsi="Noto Sans CJK SC" w:eastAsia="Noto Sans CJK SC"/>
          <w:b/>
          <w:i w:val="0"/>
          <w:color w:val="17365D"/>
          <w:sz w:val="32"/>
        </w:rPr>
        <w:t>8 结论</w:t>
      </w:r>
    </w:p>
    <w:p>
      <w:pPr>
        <w:spacing w:line="293" w:lineRule="auto" w:after="80"/>
        <w:ind w:firstLine="420"/>
      </w:pPr>
      <w:r>
        <w:rPr>
          <w:rFonts w:ascii="Noto Serif CJK SC" w:hAnsi="Noto Serif CJK SC" w:eastAsia="Noto Serif CJK SC"/>
          <w:b w:val="0"/>
          <w:i w:val="0"/>
          <w:color w:val="1F1F1F"/>
          <w:sz w:val="21"/>
        </w:rPr>
        <w:t>第一周工作的真实成果是：业务问题已经具体化，验收口径已经建立，数据底座已有可运行 PoC，项目技术路线已经收敛。当前最大的缺口不是继续增加 Agent 概念，而是把数据、检索、证据和评测连成一条可运行、可比较、可复现的项目专用 Baseline。</w:t>
      </w:r>
    </w:p>
    <w:p>
      <w:pPr>
        <w:spacing w:line="293" w:lineRule="auto" w:after="80"/>
        <w:ind w:firstLine="420"/>
      </w:pPr>
      <w:r>
        <w:rPr>
          <w:rFonts w:ascii="Noto Serif CJK SC" w:hAnsi="Noto Serif CJK SC" w:eastAsia="Noto Serif CJK SC"/>
          <w:b w:val="0"/>
          <w:i w:val="0"/>
          <w:color w:val="1F1F1F"/>
          <w:sz w:val="21"/>
        </w:rPr>
        <w:t>本人第一周在项目协调、技术路线和方案设计方面已形成可验收成果；在统一仓库、代码联调和端到端主入口方面尚未完成。本交付包已补齐架构、接口和第二周任务闭环，下一周必须以 B1-B3 运行结果和 20 题日志作为工作结果，而不再以方案文档替代代码成果。</w:t>
      </w:r>
    </w:p>
    <w:p>
      <w:pPr>
        <w:spacing w:before="280" w:after="140"/>
        <w:pBdr>
          <w:bottom w:val="single" w:sz="12" w:color="17365D"/>
        </w:pBdr>
      </w:pPr>
      <w:r>
        <w:rPr>
          <w:rFonts w:ascii="Noto Sans CJK SC" w:hAnsi="Noto Sans CJK SC" w:eastAsia="Noto Sans CJK SC"/>
          <w:b/>
          <w:i w:val="0"/>
          <w:color w:val="17365D"/>
          <w:sz w:val="32"/>
        </w:rPr>
        <w:t>附录 A 交付包文件清单</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4535"/>
            <w:vAlign w:val="center"/>
            <w:tcMar>
              <w:top w:w="80" w:type="dxa"/>
              <w:start w:w="90" w:type="dxa"/>
              <w:bottom w:w="80" w:type="dxa"/>
              <w:end w:w="90" w:type="dxa"/>
            </w:tcMar>
            <w:shd w:fill="17365D"/>
          </w:tcPr>
          <w:p>
            <w:pPr>
              <w:spacing w:after="0" w:line="252" w:lineRule="auto"/>
              <w:jc w:val="center"/>
            </w:pPr>
            <w:r/>
            <w:r>
              <w:rPr>
                <w:rFonts w:ascii="Noto Serif CJK SC" w:hAnsi="Noto Serif CJK SC" w:eastAsia="Noto Serif CJK SC"/>
                <w:b/>
                <w:i w:val="0"/>
                <w:color w:val="FFFFFF"/>
                <w:sz w:val="17"/>
              </w:rPr>
              <w:t>文件</w:t>
            </w:r>
          </w:p>
        </w:tc>
        <w:tc>
          <w:tcPr>
            <w:tcW w:type="dxa" w:w="4649"/>
            <w:vAlign w:val="center"/>
            <w:tcMar>
              <w:top w:w="80" w:type="dxa"/>
              <w:start w:w="90" w:type="dxa"/>
              <w:bottom w:w="80" w:type="dxa"/>
              <w:end w:w="90" w:type="dxa"/>
            </w:tcMar>
            <w:shd w:fill="17365D"/>
          </w:tcPr>
          <w:p>
            <w:pPr>
              <w:spacing w:after="0" w:line="252" w:lineRule="auto"/>
              <w:jc w:val="center"/>
            </w:pPr>
            <w:r/>
            <w:r>
              <w:rPr>
                <w:rFonts w:ascii="Noto Serif CJK SC" w:hAnsi="Noto Serif CJK SC" w:eastAsia="Noto Serif CJK SC"/>
                <w:b/>
                <w:i w:val="0"/>
                <w:color w:val="FFFFFF"/>
                <w:sz w:val="17"/>
              </w:rPr>
              <w:t>用途</w:t>
            </w:r>
          </w:p>
        </w:tc>
      </w:tr>
      <w:tr>
        <w:trPr>
          <w:cantSplit/>
        </w:trPr>
        <w:tc>
          <w:tcPr>
            <w:tcW w:type="dxa" w:w="453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01_第一周工作结果交付报告_陈伦禄.docx</w:t>
            </w:r>
          </w:p>
        </w:tc>
        <w:tc>
          <w:tcPr>
            <w:tcW w:type="dxa" w:w="464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本报告</w:t>
            </w:r>
          </w:p>
        </w:tc>
      </w:tr>
      <w:tr>
        <w:trPr>
          <w:cantSplit/>
        </w:trPr>
        <w:tc>
          <w:tcPr>
            <w:tcW w:type="dxa" w:w="453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02_系统接口说明_V1.0.md</w:t>
            </w:r>
          </w:p>
        </w:tc>
        <w:tc>
          <w:tcPr>
            <w:tcW w:type="dxa" w:w="464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模块输入输出、目录和版本规则</w:t>
            </w:r>
          </w:p>
        </w:tc>
      </w:tr>
      <w:tr>
        <w:trPr>
          <w:cantSplit/>
        </w:trPr>
        <w:tc>
          <w:tcPr>
            <w:tcW w:type="dxa" w:w="453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03_第二周Issue清单.md</w:t>
            </w:r>
          </w:p>
        </w:tc>
        <w:tc>
          <w:tcPr>
            <w:tcW w:type="dxa" w:w="464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P0/P1 任务、负责人、截止时间、验收标准</w:t>
            </w:r>
          </w:p>
        </w:tc>
      </w:tr>
      <w:tr>
        <w:trPr>
          <w:cantSplit/>
        </w:trPr>
        <w:tc>
          <w:tcPr>
            <w:tcW w:type="dxa" w:w="453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04_统一输出样例.json</w:t>
            </w:r>
          </w:p>
        </w:tc>
        <w:tc>
          <w:tcPr>
            <w:tcW w:type="dxa" w:w="464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QueryPlan 与 AnswerResponse 联调样例</w:t>
            </w:r>
          </w:p>
        </w:tc>
      </w:tr>
      <w:tr>
        <w:trPr>
          <w:cantSplit/>
        </w:trPr>
        <w:tc>
          <w:tcPr>
            <w:tcW w:type="dxa" w:w="453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schemas/query_plan.schema.json</w:t>
            </w:r>
          </w:p>
        </w:tc>
        <w:tc>
          <w:tcPr>
            <w:tcW w:type="dxa" w:w="464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查询解析契约</w:t>
            </w:r>
          </w:p>
        </w:tc>
      </w:tr>
      <w:tr>
        <w:trPr>
          <w:cantSplit/>
        </w:trPr>
        <w:tc>
          <w:tcPr>
            <w:tcW w:type="dxa" w:w="453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schemas/evidence_record.schema.json</w:t>
            </w:r>
          </w:p>
        </w:tc>
        <w:tc>
          <w:tcPr>
            <w:tcW w:type="dxa" w:w="464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统一证据契约</w:t>
            </w:r>
          </w:p>
        </w:tc>
      </w:tr>
      <w:tr>
        <w:trPr>
          <w:cantSplit/>
        </w:trPr>
        <w:tc>
          <w:tcPr>
            <w:tcW w:type="dxa" w:w="453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schemas/answer_response.schema.json</w:t>
            </w:r>
          </w:p>
        </w:tc>
        <w:tc>
          <w:tcPr>
            <w:tcW w:type="dxa" w:w="464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最终输出契约</w:t>
            </w:r>
          </w:p>
        </w:tc>
      </w:tr>
      <w:tr>
        <w:trPr>
          <w:cantSplit/>
        </w:trPr>
        <w:tc>
          <w:tcPr>
            <w:tcW w:type="dxa" w:w="453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schemas/trace_record.schema.json</w:t>
            </w:r>
          </w:p>
        </w:tc>
        <w:tc>
          <w:tcPr>
            <w:tcW w:type="dxa" w:w="464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全流程日志契约</w:t>
            </w:r>
          </w:p>
        </w:tc>
      </w:tr>
      <w:tr>
        <w:trPr>
          <w:cantSplit/>
        </w:trPr>
        <w:tc>
          <w:tcPr>
            <w:tcW w:type="dxa" w:w="4535"/>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assets/*.png</w:t>
            </w:r>
          </w:p>
        </w:tc>
        <w:tc>
          <w:tcPr>
            <w:tcW w:type="dxa" w:w="4649"/>
            <w:vAlign w:val="center"/>
            <w:tcMar>
              <w:top w:w="80" w:type="dxa"/>
              <w:start w:w="90" w:type="dxa"/>
              <w:bottom w:w="80" w:type="dxa"/>
              <w:end w:w="90" w:type="dxa"/>
            </w:tcMar>
          </w:tcPr>
          <w:p>
            <w:pPr>
              <w:spacing w:after="0" w:line="252" w:lineRule="auto"/>
              <w:jc w:val="left"/>
            </w:pPr>
            <w:r/>
            <w:r>
              <w:rPr>
                <w:rFonts w:ascii="Noto Serif CJK SC" w:hAnsi="Noto Serif CJK SC" w:eastAsia="Noto Serif CJK SC"/>
                <w:b w:val="0"/>
                <w:i w:val="0"/>
                <w:color w:val="1F1F1F"/>
                <w:sz w:val="17"/>
              </w:rPr>
              <w:t>Baseline 路线和系统架构初版图</w:t>
            </w:r>
          </w:p>
        </w:tc>
      </w:tr>
    </w:tbl>
    <w:p>
      <w:pPr>
        <w:spacing w:after="40"/>
      </w:pPr>
    </w:p>
    <w:p>
      <w:pPr>
        <w:spacing w:before="280" w:after="140"/>
        <w:pBdr>
          <w:bottom w:val="single" w:sz="12" w:color="17365D"/>
        </w:pBdr>
      </w:pPr>
      <w:r>
        <w:rPr>
          <w:rFonts w:ascii="Noto Sans CJK SC" w:hAnsi="Noto Sans CJK SC" w:eastAsia="Noto Sans CJK SC"/>
          <w:b/>
          <w:i w:val="0"/>
          <w:color w:val="17365D"/>
          <w:sz w:val="32"/>
        </w:rPr>
        <w:t>附录 B 审查材料来源</w:t>
      </w:r>
    </w:p>
    <w:p>
      <w:pPr>
        <w:pStyle w:val="ListBullet"/>
        <w:spacing w:after="40" w:line="269" w:lineRule="auto"/>
      </w:pPr>
      <w:r>
        <w:rPr>
          <w:rFonts w:ascii="Noto Serif CJK SC" w:hAnsi="Noto Serif CJK SC" w:eastAsia="Noto Serif CJK SC"/>
          <w:b w:val="0"/>
          <w:i w:val="0"/>
          <w:color w:val="1F1F1F"/>
          <w:sz w:val="20"/>
        </w:rPr>
        <w:t>《可信RegRAG_第一周工作安排(1).xlsx》</w:t>
      </w:r>
    </w:p>
    <w:p>
      <w:pPr>
        <w:pStyle w:val="ListBullet"/>
        <w:spacing w:after="40" w:line="269" w:lineRule="auto"/>
      </w:pPr>
      <w:r>
        <w:rPr>
          <w:rFonts w:ascii="Noto Serif CJK SC" w:hAnsi="Noto Serif CJK SC" w:eastAsia="Noto Serif CJK SC"/>
          <w:b w:val="0"/>
          <w:i w:val="0"/>
          <w:color w:val="1F1F1F"/>
          <w:sz w:val="20"/>
        </w:rPr>
        <w:t>《可信RegRAG_文献调研与Baseline建设方案_V1.0-陈伦禄.docx》</w:t>
      </w:r>
    </w:p>
    <w:p>
      <w:pPr>
        <w:pStyle w:val="ListBullet"/>
        <w:spacing w:after="40" w:line="269" w:lineRule="auto"/>
      </w:pPr>
      <w:r>
        <w:rPr>
          <w:rFonts w:ascii="Noto Serif CJK SC" w:hAnsi="Noto Serif CJK SC" w:eastAsia="Noto Serif CJK SC"/>
          <w:b w:val="0"/>
          <w:i w:val="0"/>
          <w:color w:val="1F1F1F"/>
          <w:sz w:val="20"/>
        </w:rPr>
        <w:t>《三个核心业务场景详细说明-李静雯.docx》</w:t>
      </w:r>
    </w:p>
    <w:p>
      <w:pPr>
        <w:pStyle w:val="ListBullet"/>
        <w:spacing w:after="40" w:line="269" w:lineRule="auto"/>
      </w:pPr>
      <w:r>
        <w:rPr>
          <w:rFonts w:ascii="Noto Serif CJK SC" w:hAnsi="Noto Serif CJK SC" w:eastAsia="Noto Serif CJK SC"/>
          <w:b w:val="0"/>
          <w:i w:val="0"/>
          <w:color w:val="1F1F1F"/>
          <w:sz w:val="20"/>
        </w:rPr>
        <w:t>《用户故事-李静雯.docx》</w:t>
      </w:r>
    </w:p>
    <w:p>
      <w:pPr>
        <w:pStyle w:val="ListBullet"/>
        <w:spacing w:after="40" w:line="269" w:lineRule="auto"/>
      </w:pPr>
      <w:r>
        <w:rPr>
          <w:rFonts w:ascii="Noto Serif CJK SC" w:hAnsi="Noto Serif CJK SC" w:eastAsia="Noto Serif CJK SC"/>
          <w:b w:val="0"/>
          <w:i w:val="0"/>
          <w:color w:val="1F1F1F"/>
          <w:sz w:val="20"/>
        </w:rPr>
        <w:t>《三类业务场景验收表_可信RegRAG-杨怡睿.xlsx》</w:t>
      </w:r>
    </w:p>
    <w:p>
      <w:pPr>
        <w:pStyle w:val="ListBullet"/>
        <w:spacing w:after="40" w:line="269" w:lineRule="auto"/>
      </w:pPr>
      <w:r>
        <w:rPr>
          <w:rFonts w:ascii="Noto Serif CJK SC" w:hAnsi="Noto Serif CJK SC" w:eastAsia="Noto Serif CJK SC"/>
          <w:b w:val="0"/>
          <w:i w:val="0"/>
          <w:color w:val="1F1F1F"/>
          <w:sz w:val="20"/>
        </w:rPr>
        <w:t>《测评问题初稿-杨怡睿.xlsx》</w:t>
      </w:r>
    </w:p>
    <w:p>
      <w:pPr>
        <w:pStyle w:val="ListBullet"/>
        <w:spacing w:after="40" w:line="269" w:lineRule="auto"/>
      </w:pPr>
      <w:r>
        <w:rPr>
          <w:rFonts w:ascii="Noto Serif CJK SC" w:hAnsi="Noto Serif CJK SC" w:eastAsia="Noto Serif CJK SC"/>
          <w:b w:val="0"/>
          <w:i w:val="0"/>
          <w:color w:val="1F1F1F"/>
          <w:sz w:val="20"/>
        </w:rPr>
        <w:t>《银行业监管制度与统计报表_RAG知识库分析报告-杨怡睿.doc》</w:t>
      </w:r>
    </w:p>
    <w:p>
      <w:pPr>
        <w:pStyle w:val="ListBullet"/>
        <w:spacing w:after="40" w:line="269" w:lineRule="auto"/>
      </w:pPr>
      <w:r>
        <w:rPr>
          <w:rFonts w:ascii="Noto Serif CJK SC" w:hAnsi="Noto Serif CJK SC" w:eastAsia="Noto Serif CJK SC"/>
          <w:b w:val="0"/>
          <w:i w:val="0"/>
          <w:color w:val="1F1F1F"/>
          <w:sz w:val="20"/>
        </w:rPr>
        <w:t>data_governance 代码包及派生输出</w:t>
      </w:r>
    </w:p>
    <w:p>
      <w:pPr>
        <w:pStyle w:val="ListBullet"/>
        <w:spacing w:after="40" w:line="269" w:lineRule="auto"/>
      </w:pPr>
      <w:r>
        <w:rPr>
          <w:rFonts w:ascii="Noto Serif CJK SC" w:hAnsi="Noto Serif CJK SC" w:eastAsia="Noto Serif CJK SC"/>
          <w:b w:val="0"/>
          <w:i w:val="0"/>
          <w:color w:val="1F1F1F"/>
          <w:sz w:val="20"/>
        </w:rPr>
        <w:t>finreg-agents 参考代码包</w:t>
      </w:r>
    </w:p>
    <w:p>
      <w:pPr>
        <w:pStyle w:val="ListBullet"/>
        <w:spacing w:after="40" w:line="269" w:lineRule="auto"/>
      </w:pPr>
      <w:r>
        <w:rPr>
          <w:rFonts w:ascii="Noto Serif CJK SC" w:hAnsi="Noto Serif CJK SC" w:eastAsia="Noto Serif CJK SC"/>
          <w:b w:val="0"/>
          <w:i w:val="0"/>
          <w:color w:val="1F1F1F"/>
          <w:sz w:val="20"/>
        </w:rPr>
        <w:t>《v1.docx》项目计划书初稿</w:t>
      </w:r>
    </w:p>
    <w:sectPr w:rsidR="00FC693F" w:rsidRPr="0006063C" w:rsidSect="00034616">
      <w:headerReference w:type="default" r:id="rId9"/>
      <w:footerReference w:type="default" r:id="rId10"/>
      <w:pgSz w:w="12240" w:h="15840"/>
      <w:pgMar w:top="1134" w:right="1134" w:bottom="1020" w:left="113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erif CJK SC" w:hAnsi="Noto Serif CJK SC" w:eastAsia="Noto Serif CJK SC"/>
        <w:b w:val="0"/>
        <w:i w:val="0"/>
        <w:color w:val="6B7785"/>
        <w:sz w:val="17"/>
      </w:rPr>
      <w:t>V1.0｜2026-07-21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Noto Serif CJK SC" w:hAnsi="Noto Serif CJK SC" w:eastAsia="Noto Serif CJK SC"/>
        <w:b w:val="0"/>
        <w:i w:val="0"/>
        <w:color w:val="6B7785"/>
        <w:sz w:val="17"/>
      </w:rPr>
      <w:t>可信 RegRAG｜第一周工作结果交付｜陈伦禄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