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32009" w14:textId="38E70CF9" w:rsidR="00C13FBF" w:rsidRDefault="00A54D41">
      <w:pPr>
        <w:pStyle w:val="Heading2"/>
      </w:pPr>
      <w:r w:rsidRPr="005C15B0">
        <w:rPr>
          <w:highlight w:val="cyan"/>
        </w:rPr>
        <w:t>XI</w:t>
      </w:r>
      <w:r w:rsidR="00C13FBF" w:rsidRPr="005C15B0">
        <w:rPr>
          <w:highlight w:val="cyan"/>
        </w:rPr>
        <w:t>.</w:t>
      </w:r>
      <w:r w:rsidR="006E0FE2" w:rsidRPr="005C15B0">
        <w:rPr>
          <w:highlight w:val="cyan"/>
        </w:rPr>
        <w:t xml:space="preserve"> CIENCIA Y TECNOLOGÍA</w:t>
      </w:r>
      <w:r w:rsidR="37574D55">
        <w:t xml:space="preserve"> hola </w:t>
      </w:r>
    </w:p>
    <w:p w14:paraId="672A6659" w14:textId="677757E0" w:rsidR="00C13FBF" w:rsidRDefault="00C13FBF"/>
    <w:p w14:paraId="3114060C" w14:textId="29F37930" w:rsidR="005C15B0" w:rsidRDefault="005C15B0"/>
    <w:p w14:paraId="5ADBFABB" w14:textId="77777777" w:rsidR="00C13FBF" w:rsidRDefault="00AD1D0F">
      <w:pPr>
        <w:rPr>
          <w:rFonts w:ascii="Segoe UI Emoji" w:eastAsia="Segoe UI Emoji" w:hAnsi="Segoe UI Emoji" w:cs="Segoe UI Emoji"/>
          <w:sz w:val="56"/>
          <w:szCs w:val="56"/>
        </w:rPr>
      </w:pPr>
      <w:r w:rsidRPr="00AD1D0F">
        <w:rPr>
          <w:rFonts w:ascii="Segoe UI Emoji" w:eastAsia="Segoe UI Emoji" w:hAnsi="Segoe UI Emoji" w:cs="Segoe UI Emoji"/>
          <w:sz w:val="56"/>
          <w:szCs w:val="56"/>
        </w:rPr>
        <w:t>🗂</w:t>
      </w:r>
      <w:r w:rsidRPr="00AD1D0F">
        <w:rPr>
          <w:rFonts w:ascii="Segoe UI Emoji" w:eastAsia="Segoe UI Emoji" w:hAnsi="Segoe UI Emoji" w:cs="Segoe UI Emoji"/>
          <w:b/>
          <w:bCs/>
          <w:sz w:val="56"/>
          <w:szCs w:val="56"/>
        </w:rPr>
        <w:t xml:space="preserve"> </w:t>
      </w:r>
      <w:r w:rsidRPr="00AD1D0F">
        <w:rPr>
          <w:rFonts w:ascii="Segoe UI Emoji" w:eastAsia="Segoe UI Emoji" w:hAnsi="Segoe UI Emoji" w:cs="Segoe UI Emoji"/>
          <w:b/>
          <w:bCs/>
          <w:szCs w:val="24"/>
        </w:rPr>
        <w:t>Investigación y desarrollo</w:t>
      </w:r>
      <w:r>
        <w:rPr>
          <w:rFonts w:ascii="Segoe UI Emoji" w:eastAsia="Segoe UI Emoji" w:hAnsi="Segoe UI Emoji" w:cs="Segoe UI Emoji"/>
          <w:szCs w:val="24"/>
        </w:rPr>
        <w:t xml:space="preserve"> (con subcarpetas). CLM y España</w:t>
      </w:r>
    </w:p>
    <w:p w14:paraId="7601BCC2" w14:textId="77777777" w:rsidR="00AD1D0F" w:rsidRPr="00AD1D0F" w:rsidRDefault="00AD1D0F">
      <w:pPr>
        <w:rPr>
          <w:rFonts w:ascii="Segoe UI Emoji" w:eastAsia="Segoe UI Emoji" w:hAnsi="Segoe UI Emoji" w:cs="Segoe UI Emoji"/>
          <w:b/>
          <w:bCs/>
          <w:szCs w:val="24"/>
        </w:rPr>
      </w:pPr>
      <w:r w:rsidRPr="00AD1D0F">
        <w:rPr>
          <w:rFonts w:ascii="Segoe UI Emoji" w:eastAsia="Segoe UI Emoji" w:hAnsi="Segoe UI Emoji" w:cs="Segoe UI Emoji"/>
          <w:sz w:val="56"/>
          <w:szCs w:val="56"/>
        </w:rPr>
        <w:t>🗂</w:t>
      </w:r>
      <w:r>
        <w:rPr>
          <w:rFonts w:ascii="Segoe UI Emoji" w:eastAsia="Segoe UI Emoji" w:hAnsi="Segoe UI Emoji" w:cs="Segoe UI Emoji"/>
          <w:sz w:val="56"/>
          <w:szCs w:val="56"/>
        </w:rPr>
        <w:t xml:space="preserve"> </w:t>
      </w:r>
      <w:r w:rsidRPr="00AD1D0F">
        <w:rPr>
          <w:rFonts w:ascii="Segoe UI Emoji" w:eastAsia="Segoe UI Emoji" w:hAnsi="Segoe UI Emoji" w:cs="Segoe UI Emoji"/>
          <w:b/>
          <w:bCs/>
          <w:szCs w:val="24"/>
        </w:rPr>
        <w:t>Red Regional de Centros de Internet</w:t>
      </w:r>
      <w:r w:rsidR="0035517F">
        <w:rPr>
          <w:rFonts w:ascii="Segoe UI Emoji" w:eastAsia="Segoe UI Emoji" w:hAnsi="Segoe UI Emoji" w:cs="Segoe UI Emoji"/>
          <w:b/>
          <w:bCs/>
          <w:szCs w:val="24"/>
        </w:rPr>
        <w:t xml:space="preserve"> (sin subcarpetas)</w:t>
      </w:r>
      <w:r>
        <w:rPr>
          <w:rFonts w:ascii="Segoe UI Emoji" w:eastAsia="Segoe UI Emoji" w:hAnsi="Segoe UI Emoji" w:cs="Segoe UI Emoji"/>
          <w:b/>
          <w:bCs/>
          <w:szCs w:val="24"/>
        </w:rPr>
        <w:t xml:space="preserve"> </w:t>
      </w:r>
      <w:r w:rsidR="0035517F">
        <w:rPr>
          <w:rFonts w:ascii="Segoe UI Emoji" w:eastAsia="Segoe UI Emoji" w:hAnsi="Segoe UI Emoji" w:cs="Segoe UI Emoji"/>
          <w:b/>
          <w:bCs/>
          <w:szCs w:val="24"/>
        </w:rPr>
        <w:t xml:space="preserve">MUNI, </w:t>
      </w:r>
      <w:r>
        <w:rPr>
          <w:rFonts w:ascii="Segoe UI Emoji" w:eastAsia="Segoe UI Emoji" w:hAnsi="Segoe UI Emoji" w:cs="Segoe UI Emoji"/>
          <w:b/>
          <w:bCs/>
          <w:szCs w:val="24"/>
        </w:rPr>
        <w:t>mapa</w:t>
      </w:r>
      <w:r w:rsidR="0035517F">
        <w:rPr>
          <w:rFonts w:ascii="Segoe UI Emoji" w:eastAsia="Segoe UI Emoji" w:hAnsi="Segoe UI Emoji" w:cs="Segoe UI Emoji"/>
          <w:b/>
          <w:bCs/>
          <w:szCs w:val="24"/>
        </w:rPr>
        <w:t>.</w:t>
      </w:r>
    </w:p>
    <w:p w14:paraId="7E3BDAA7" w14:textId="77777777" w:rsidR="00AD1D0F" w:rsidRPr="00AD1D0F" w:rsidRDefault="00AD1D0F">
      <w:pPr>
        <w:rPr>
          <w:rFonts w:ascii="Segoe UI Emoji" w:eastAsia="Segoe UI Emoji" w:hAnsi="Segoe UI Emoji" w:cs="Segoe UI Emoji"/>
          <w:b/>
          <w:bCs/>
          <w:szCs w:val="24"/>
        </w:rPr>
      </w:pPr>
      <w:r w:rsidRPr="00AD1D0F">
        <w:rPr>
          <w:rFonts w:ascii="Segoe UI Emoji" w:eastAsia="Segoe UI Emoji" w:hAnsi="Segoe UI Emoji" w:cs="Segoe UI Emoji"/>
          <w:sz w:val="56"/>
          <w:szCs w:val="56"/>
        </w:rPr>
        <w:t xml:space="preserve">🗂 </w:t>
      </w:r>
      <w:r w:rsidRPr="00AD1D0F">
        <w:rPr>
          <w:rFonts w:ascii="Segoe UI Emoji" w:eastAsia="Segoe UI Emoji" w:hAnsi="Segoe UI Emoji" w:cs="Segoe UI Emoji"/>
          <w:b/>
          <w:bCs/>
          <w:szCs w:val="24"/>
        </w:rPr>
        <w:t>Telecomunicaciones</w:t>
      </w:r>
      <w:r w:rsidR="0035517F">
        <w:rPr>
          <w:rFonts w:ascii="Segoe UI Emoji" w:eastAsia="Segoe UI Emoji" w:hAnsi="Segoe UI Emoji" w:cs="Segoe UI Emoji"/>
          <w:b/>
          <w:bCs/>
          <w:szCs w:val="24"/>
        </w:rPr>
        <w:t xml:space="preserve"> (sin subcarpetas) </w:t>
      </w:r>
      <w:r w:rsidRPr="00AD1D0F">
        <w:rPr>
          <w:rFonts w:ascii="Segoe UI Emoji" w:eastAsia="Segoe UI Emoji" w:hAnsi="Segoe UI Emoji" w:cs="Segoe UI Emoji"/>
          <w:b/>
          <w:bCs/>
          <w:szCs w:val="24"/>
        </w:rPr>
        <w:t>PROV, CLM, ESP</w:t>
      </w:r>
    </w:p>
    <w:p w14:paraId="5F4DF9C6" w14:textId="77777777" w:rsidR="00AD1D0F" w:rsidRPr="0035517F" w:rsidRDefault="00AD1D0F">
      <w:r w:rsidRPr="00AD1D0F">
        <w:rPr>
          <w:rFonts w:ascii="Segoe UI Emoji" w:eastAsia="Segoe UI Emoji" w:hAnsi="Segoe UI Emoji" w:cs="Segoe UI Emoji"/>
          <w:sz w:val="56"/>
          <w:szCs w:val="56"/>
        </w:rPr>
        <w:t>🗂</w:t>
      </w:r>
      <w:r>
        <w:rPr>
          <w:rFonts w:ascii="Segoe UI Emoji" w:eastAsia="Segoe UI Emoji" w:hAnsi="Segoe UI Emoji" w:cs="Segoe UI Emoji"/>
          <w:sz w:val="56"/>
          <w:szCs w:val="56"/>
        </w:rPr>
        <w:t xml:space="preserve"> </w:t>
      </w:r>
      <w:r w:rsidR="0035517F" w:rsidRPr="0035517F">
        <w:rPr>
          <w:rFonts w:ascii="Segoe UI Emoji" w:eastAsia="Segoe UI Emoji" w:hAnsi="Segoe UI Emoji" w:cs="Segoe UI Emoji"/>
          <w:b/>
          <w:bCs/>
          <w:szCs w:val="24"/>
        </w:rPr>
        <w:t>Uso Tecnología Información y Comunicación Empresas (con subcarpetas) CLM, ESP</w:t>
      </w:r>
    </w:p>
    <w:p w14:paraId="0A37501D" w14:textId="77777777" w:rsidR="00AD1D0F" w:rsidRPr="0035517F" w:rsidRDefault="00AD1D0F"/>
    <w:p w14:paraId="5DAB6C7B" w14:textId="77777777" w:rsidR="0035517F" w:rsidRDefault="0035517F">
      <w:pPr>
        <w:rPr>
          <w:b/>
        </w:rPr>
      </w:pPr>
    </w:p>
    <w:p w14:paraId="24BA7DC2" w14:textId="77777777" w:rsidR="00C13FBF" w:rsidRDefault="00C13FBF">
      <w:pPr>
        <w:rPr>
          <w:b/>
        </w:rPr>
      </w:pPr>
      <w:r>
        <w:rPr>
          <w:b/>
        </w:rPr>
        <w:t>CONCEPTOS</w:t>
      </w:r>
    </w:p>
    <w:p w14:paraId="02EB378F" w14:textId="77777777" w:rsidR="00B00E11" w:rsidRDefault="00B00E11">
      <w:pPr>
        <w:rPr>
          <w:b/>
        </w:rPr>
      </w:pPr>
    </w:p>
    <w:p w14:paraId="77E50BE3" w14:textId="77777777" w:rsidR="001E0A21" w:rsidRPr="001E0A21" w:rsidRDefault="001E0A21" w:rsidP="00B00E11">
      <w:pPr>
        <w:rPr>
          <w:b/>
          <w:bCs/>
          <w:color w:val="C00000"/>
        </w:rPr>
      </w:pPr>
      <w:r w:rsidRPr="001E0A21">
        <w:rPr>
          <w:b/>
          <w:bCs/>
          <w:color w:val="C00000"/>
        </w:rPr>
        <w:t>Poner algo así puede estar bien</w:t>
      </w:r>
      <w:r>
        <w:rPr>
          <w:b/>
          <w:bCs/>
          <w:color w:val="C00000"/>
        </w:rPr>
        <w:t>, ¿sabías qué…?</w:t>
      </w:r>
    </w:p>
    <w:p w14:paraId="21D615BF" w14:textId="77777777" w:rsidR="00B00E11" w:rsidRPr="001E0A21" w:rsidRDefault="00B00E11" w:rsidP="001E0A21">
      <w:pPr>
        <w:jc w:val="both"/>
      </w:pPr>
      <w:r w:rsidRPr="001E0A21">
        <w:t xml:space="preserve">La </w:t>
      </w:r>
      <w:r w:rsidRPr="001E0A21">
        <w:rPr>
          <w:b/>
          <w:highlight w:val="yellow"/>
        </w:rPr>
        <w:t>Estadística de Investigación y Desarrollo Tecnológico</w:t>
      </w:r>
      <w:r w:rsidRPr="001E0A21">
        <w:t xml:space="preserve"> trata de medir los recursos económicos y humanos destinados a investigación por todos los sectores económicos en que se divide la economía (empresas, administraciones públicas, enseñanza superior e instituciones privadas sin fines de lucro) con el fin de conocer el esfuerzo nacional en investigación. </w:t>
      </w:r>
    </w:p>
    <w:p w14:paraId="6A05A809" w14:textId="77777777" w:rsidR="00B00E11" w:rsidRDefault="00B00E11" w:rsidP="00B00E11"/>
    <w:p w14:paraId="4AD43E72" w14:textId="77777777" w:rsidR="00B00E11" w:rsidRPr="00321043" w:rsidRDefault="00B00E11" w:rsidP="00B00E11">
      <w:pPr>
        <w:rPr>
          <w:b/>
          <w:bCs/>
        </w:rPr>
      </w:pPr>
      <w:r w:rsidRPr="00321043">
        <w:rPr>
          <w:b/>
          <w:bCs/>
        </w:rPr>
        <w:t>Conceptos reseñables de esta estadística son:</w:t>
      </w:r>
    </w:p>
    <w:p w14:paraId="5A39BBE3" w14:textId="77777777" w:rsidR="00B00E11" w:rsidRDefault="00B00E11" w:rsidP="00B00E11"/>
    <w:p w14:paraId="4013A15D" w14:textId="77777777" w:rsidR="00B00E11" w:rsidRPr="00BC46D7" w:rsidRDefault="00B00E11" w:rsidP="001E0A21">
      <w:pPr>
        <w:numPr>
          <w:ilvl w:val="0"/>
          <w:numId w:val="9"/>
        </w:numPr>
      </w:pPr>
      <w:r w:rsidRPr="001E0A21">
        <w:rPr>
          <w:b/>
          <w:bCs/>
          <w:color w:val="C00000"/>
        </w:rPr>
        <w:t>Investigación científica y desarrollo tecnológico</w:t>
      </w:r>
      <w:r>
        <w:t>: Se define como el conjunto de trabajos creativos que se emprenden de modo sistemático a fin de aumentar el volumen de conocimientos, incluidos el conocimiento del hombre, la cultura y la sociedad, así como la utilización de esa suma de conocimientos para concebir nuevas aplicaciones.</w:t>
      </w:r>
    </w:p>
    <w:p w14:paraId="5847B8ED" w14:textId="77777777" w:rsidR="001E0A21" w:rsidRDefault="00B00E11" w:rsidP="001E0A21">
      <w:pPr>
        <w:pStyle w:val="Texto"/>
        <w:numPr>
          <w:ilvl w:val="0"/>
          <w:numId w:val="9"/>
        </w:numPr>
        <w:tabs>
          <w:tab w:val="clear" w:pos="397"/>
          <w:tab w:val="left" w:pos="0"/>
        </w:tabs>
        <w:rPr>
          <w:rFonts w:ascii="Times New Roman" w:hAnsi="Times New Roman"/>
          <w:sz w:val="24"/>
        </w:rPr>
      </w:pPr>
      <w:r w:rsidRPr="001E0A21">
        <w:rPr>
          <w:rFonts w:ascii="Times New Roman" w:hAnsi="Times New Roman"/>
          <w:b/>
          <w:bCs/>
          <w:color w:val="C00000"/>
          <w:sz w:val="24"/>
        </w:rPr>
        <w:t>Gastos internos:</w:t>
      </w:r>
      <w:r>
        <w:rPr>
          <w:rFonts w:ascii="Times New Roman" w:hAnsi="Times New Roman"/>
          <w:sz w:val="24"/>
        </w:rPr>
        <w:t xml:space="preserve"> </w:t>
      </w:r>
      <w:r w:rsidR="001E0A21">
        <w:rPr>
          <w:rFonts w:ascii="Times New Roman" w:hAnsi="Times New Roman"/>
          <w:sz w:val="24"/>
        </w:rPr>
        <w:t>(tiene cambio metodológico)</w:t>
      </w:r>
    </w:p>
    <w:p w14:paraId="3D6D81BD" w14:textId="77777777" w:rsidR="00B00E11" w:rsidRDefault="00B00E11" w:rsidP="00B00E11">
      <w:pPr>
        <w:pStyle w:val="Texto"/>
        <w:tabs>
          <w:tab w:val="clear" w:pos="397"/>
          <w:tab w:val="left" w:pos="0"/>
        </w:tabs>
        <w:ind w:left="0"/>
        <w:rPr>
          <w:rFonts w:ascii="Times New Roman" w:hAnsi="Times New Roman"/>
          <w:spacing w:val="-6"/>
          <w:sz w:val="24"/>
        </w:rPr>
      </w:pPr>
      <w:r>
        <w:rPr>
          <w:rFonts w:ascii="Times New Roman" w:hAnsi="Times New Roman"/>
          <w:spacing w:val="-6"/>
          <w:sz w:val="24"/>
        </w:rPr>
        <w:t xml:space="preserve">Comprende los gastos corrientes y de capital en actividades de I+D realizadas dentro de la </w:t>
      </w:r>
      <w:r w:rsidRPr="001E0A21">
        <w:rPr>
          <w:rFonts w:ascii="Times New Roman" w:hAnsi="Times New Roman"/>
          <w:b/>
          <w:bCs/>
          <w:color w:val="C00000"/>
          <w:spacing w:val="-6"/>
          <w:sz w:val="24"/>
        </w:rPr>
        <w:t>empresa</w:t>
      </w:r>
      <w:r>
        <w:rPr>
          <w:rFonts w:ascii="Times New Roman" w:hAnsi="Times New Roman"/>
          <w:spacing w:val="-6"/>
          <w:sz w:val="24"/>
        </w:rPr>
        <w:t>, cualquiera que sea el origen de los fondos. Los gastos llevados a cabo fuera de la empresa, pero en apoyo de las tareas internas de I+D, también se incluirán.</w:t>
      </w:r>
    </w:p>
    <w:p w14:paraId="44879890" w14:textId="77777777" w:rsidR="002A56A5" w:rsidRPr="002A56A5" w:rsidRDefault="002A56A5" w:rsidP="002A56A5">
      <w:pPr>
        <w:pStyle w:val="Texto"/>
        <w:tabs>
          <w:tab w:val="clear" w:pos="397"/>
          <w:tab w:val="left" w:pos="0"/>
        </w:tabs>
        <w:ind w:left="0"/>
        <w:rPr>
          <w:rFonts w:ascii="Times New Roman" w:hAnsi="Times New Roman"/>
          <w:sz w:val="24"/>
        </w:rPr>
      </w:pPr>
      <w:r w:rsidRPr="002A56A5">
        <w:rPr>
          <w:rFonts w:ascii="Times New Roman" w:hAnsi="Times New Roman"/>
          <w:sz w:val="24"/>
        </w:rPr>
        <w:t>La Estadística sobre actividades de I+D (sector empresas) va a aplicar en la edición de 2021 un cambio metodológico que afecta a la unidad estadística y que se mantendrá en las siguientes ediciones</w:t>
      </w:r>
      <w:r>
        <w:rPr>
          <w:rFonts w:ascii="Times New Roman" w:hAnsi="Times New Roman"/>
          <w:sz w:val="24"/>
        </w:rPr>
        <w:t>.</w:t>
      </w:r>
      <w:r w:rsidRPr="002A56A5">
        <w:rPr>
          <w:rFonts w:ascii="Times New Roman" w:hAnsi="Times New Roman"/>
          <w:sz w:val="24"/>
        </w:rPr>
        <w:t xml:space="preserve"> </w:t>
      </w:r>
    </w:p>
    <w:p w14:paraId="0B30D724" w14:textId="77777777" w:rsidR="002A56A5" w:rsidRPr="002A56A5" w:rsidRDefault="002A56A5" w:rsidP="002A56A5">
      <w:pPr>
        <w:pStyle w:val="Texto"/>
        <w:tabs>
          <w:tab w:val="clear" w:pos="397"/>
          <w:tab w:val="left" w:pos="0"/>
        </w:tabs>
        <w:ind w:left="0"/>
        <w:rPr>
          <w:rFonts w:ascii="Times New Roman" w:hAnsi="Times New Roman"/>
          <w:sz w:val="24"/>
        </w:rPr>
      </w:pPr>
      <w:r w:rsidRPr="002A56A5">
        <w:rPr>
          <w:rFonts w:ascii="Times New Roman" w:hAnsi="Times New Roman"/>
          <w:sz w:val="24"/>
        </w:rPr>
        <w:t>Este cambio metodológico se debe al Reglamento Europeo 2152/2019 relativo a las estadísticas empresariales europeas que deroga diez actos jurídicos en el ámbito de las estadísticas empresariales. En esta publicación de la E. sobre actividades de I+D, la nueva unidad estadística será la ‘Empresa’ tal y como se define en el Reglamento Europeo 696/1993: “la combinación más pequeña de unidades jurídicas que constituye una unidad organizativa de producción de bienes y servicios y que disfruta de una cierta autonomía de decisión principalmente a la hora de emplear los recursos de los que dispone. La empresa puede ejercer una o más actividades en uno o varios lugares. Una empresa puede corresponder a una única unidad jurídica”.</w:t>
      </w:r>
    </w:p>
    <w:p w14:paraId="2F7C4B4A" w14:textId="77777777" w:rsidR="002A56A5" w:rsidRPr="002A56A5" w:rsidRDefault="002A56A5" w:rsidP="24BD2745">
      <w:pPr>
        <w:pStyle w:val="Texto"/>
        <w:tabs>
          <w:tab w:val="clear" w:pos="397"/>
        </w:tabs>
        <w:ind w:left="0"/>
        <w:rPr>
          <w:rFonts w:ascii="Times New Roman" w:hAnsi="Times New Roman"/>
          <w:sz w:val="24"/>
          <w:szCs w:val="24"/>
          <w:lang w:val="es-ES"/>
        </w:rPr>
      </w:pPr>
      <w:r w:rsidRPr="24BD2745">
        <w:rPr>
          <w:rFonts w:ascii="Times New Roman" w:hAnsi="Times New Roman"/>
          <w:sz w:val="24"/>
          <w:szCs w:val="24"/>
          <w:lang w:val="es-ES"/>
        </w:rPr>
        <w:t>A este nuevo concepto le hemos llamado ‘Empresa Estadística’ y puede estar formado por una o más Unidades Legales. Este criterio difiere del anterior según el cual una empresa estaba formada por una Unidad Legal. Aunque el nuevo enfoque solamente afecta a las Unidades Legales que forman parte de grupos empresariales, al ser estas entidades muy relevantes en términos económicos y de empleo, los resultados estadísticos de la E. sobre actividades de I+D en el sector empresas van a verse afectados dependiendo de la óptica desde la que se consulten.</w:t>
      </w:r>
    </w:p>
    <w:p w14:paraId="2F2BC2B0" w14:textId="77777777" w:rsidR="00B00E11" w:rsidRDefault="00B00E11" w:rsidP="001E0A21">
      <w:pPr>
        <w:pStyle w:val="Texto"/>
        <w:numPr>
          <w:ilvl w:val="0"/>
          <w:numId w:val="9"/>
        </w:numPr>
        <w:tabs>
          <w:tab w:val="clear" w:pos="397"/>
          <w:tab w:val="left" w:pos="0"/>
        </w:tabs>
        <w:rPr>
          <w:rFonts w:ascii="Times New Roman" w:hAnsi="Times New Roman"/>
          <w:spacing w:val="-6"/>
          <w:sz w:val="24"/>
        </w:rPr>
      </w:pPr>
      <w:r w:rsidRPr="001E0A21">
        <w:rPr>
          <w:rFonts w:ascii="Times New Roman" w:hAnsi="Times New Roman"/>
          <w:b/>
          <w:bCs/>
          <w:color w:val="C00000"/>
          <w:sz w:val="24"/>
        </w:rPr>
        <w:t>Personal empleado en actividades de I+D en equivalencia a dedicación plena</w:t>
      </w:r>
      <w:r w:rsidRPr="00B945DC">
        <w:t>:</w:t>
      </w:r>
      <w:r>
        <w:rPr>
          <w:b/>
        </w:rPr>
        <w:t xml:space="preserve"> </w:t>
      </w:r>
      <w:r>
        <w:rPr>
          <w:rFonts w:ascii="Times New Roman" w:hAnsi="Times New Roman"/>
          <w:spacing w:val="-6"/>
          <w:sz w:val="24"/>
        </w:rPr>
        <w:t>Es la suma del personal que trabaja en régimen de dedicación plena (jornada completa) más la equivalencia a dicha dedicación del personal que trabaja en régimen de dedicación parcial.</w:t>
      </w:r>
    </w:p>
    <w:p w14:paraId="2BBB9CD7" w14:textId="77777777" w:rsidR="001E0A21" w:rsidRPr="001E0A21" w:rsidRDefault="00321043" w:rsidP="001E0A21">
      <w:pPr>
        <w:rPr>
          <w:b/>
          <w:bCs/>
          <w:color w:val="C00000"/>
        </w:rPr>
      </w:pPr>
      <w:r>
        <w:br w:type="page"/>
      </w:r>
      <w:r w:rsidR="001E0A21" w:rsidRPr="001E0A21">
        <w:rPr>
          <w:b/>
          <w:bCs/>
          <w:color w:val="C00000"/>
        </w:rPr>
        <w:t>Poner algo así puede estar bien</w:t>
      </w:r>
      <w:r w:rsidR="001E0A21">
        <w:rPr>
          <w:b/>
          <w:bCs/>
          <w:color w:val="C00000"/>
        </w:rPr>
        <w:t>, ¿sabías qué…?</w:t>
      </w:r>
    </w:p>
    <w:p w14:paraId="37568069" w14:textId="77777777" w:rsidR="001C54D6" w:rsidRPr="00322A03" w:rsidRDefault="001C54D6" w:rsidP="001C54D6">
      <w:r w:rsidRPr="00321043">
        <w:rPr>
          <w:highlight w:val="yellow"/>
        </w:rPr>
        <w:t>La</w:t>
      </w:r>
      <w:r w:rsidRPr="00321043">
        <w:rPr>
          <w:b/>
          <w:highlight w:val="yellow"/>
        </w:rPr>
        <w:t xml:space="preserve"> Estadística de Innovación</w:t>
      </w:r>
      <w:r>
        <w:rPr>
          <w:b/>
        </w:rPr>
        <w:t xml:space="preserve"> </w:t>
      </w:r>
      <w:r>
        <w:t>facili</w:t>
      </w:r>
      <w:r w:rsidRPr="00322A03">
        <w:t xml:space="preserve">ta información de la actividad innovadora de la empresa durante el año de referencia, si bien para aquellas variables relacionadas con los productos y procesos innovadores se requiere información para un período de tres años con objeto de facilitar la comparabilidad internacional. </w:t>
      </w:r>
    </w:p>
    <w:p w14:paraId="41C8F396" w14:textId="77777777" w:rsidR="001C54D6" w:rsidRDefault="001C54D6" w:rsidP="001C54D6">
      <w:pPr>
        <w:rPr>
          <w:b/>
        </w:rPr>
      </w:pPr>
    </w:p>
    <w:p w14:paraId="6AAE6CF2" w14:textId="77777777" w:rsidR="001C54D6" w:rsidRDefault="001C54D6" w:rsidP="001C54D6">
      <w:r>
        <w:t>Conceptos reseñables de esta estadística son:</w:t>
      </w:r>
    </w:p>
    <w:p w14:paraId="72A3D3EC" w14:textId="77777777" w:rsidR="001C54D6" w:rsidRDefault="001C54D6" w:rsidP="001C54D6"/>
    <w:p w14:paraId="5D87A754" w14:textId="77777777" w:rsidR="001C54D6" w:rsidRDefault="001C54D6" w:rsidP="001E0A21">
      <w:pPr>
        <w:numPr>
          <w:ilvl w:val="0"/>
          <w:numId w:val="1"/>
        </w:numPr>
      </w:pPr>
      <w:r w:rsidRPr="001E0A21">
        <w:rPr>
          <w:b/>
          <w:bCs/>
          <w:color w:val="C00000"/>
        </w:rPr>
        <w:t>Actividades innovadoras</w:t>
      </w:r>
      <w:r>
        <w:t>: Son toda clase de actividades científicas, tecnológicas, de organización, financieras  comerciales, incluyendo la inversión en nuevo conocimiento, que conducen real o potencialmente a la puesta en marcha de innovaciones. Se pueden distinguir dos tipos de innovaciones:</w:t>
      </w:r>
    </w:p>
    <w:p w14:paraId="13949256" w14:textId="77777777" w:rsidR="001C54D6" w:rsidRDefault="001C54D6" w:rsidP="001C54D6">
      <w:pPr>
        <w:numPr>
          <w:ilvl w:val="0"/>
          <w:numId w:val="7"/>
        </w:numPr>
        <w:ind w:right="-1"/>
      </w:pPr>
      <w:r w:rsidRPr="001E0A21">
        <w:rPr>
          <w:b/>
          <w:bCs/>
          <w:color w:val="C00000"/>
        </w:rPr>
        <w:t>Tecnológicas:</w:t>
      </w:r>
      <w:r>
        <w:t xml:space="preserve"> Comprenden los productos (bienes o servicios) y procesos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tecnológicamente nuevos, así como sus mejoras tecnológicas importantes.</w:t>
      </w:r>
    </w:p>
    <w:p w14:paraId="6E4C2963" w14:textId="77777777" w:rsidR="001C54D6" w:rsidRDefault="001C54D6" w:rsidP="001C54D6">
      <w:pPr>
        <w:numPr>
          <w:ilvl w:val="0"/>
          <w:numId w:val="7"/>
        </w:numPr>
        <w:ind w:right="-1"/>
      </w:pPr>
      <w:r w:rsidRPr="001E0A21">
        <w:rPr>
          <w:b/>
          <w:bCs/>
          <w:color w:val="C00000"/>
        </w:rPr>
        <w:t>No tecnológicas</w:t>
      </w:r>
      <w:r>
        <w:t xml:space="preserve">: Nuevos métodos de comercialización de productos (bienes o servicios) o nuevos métodos de organización de las prácticas de negocio implementados por las empresas, así como sus mejoras significativas. </w:t>
      </w:r>
    </w:p>
    <w:p w14:paraId="0D0B940D" w14:textId="77777777" w:rsidR="001C54D6" w:rsidRDefault="001C54D6" w:rsidP="001C54D6">
      <w:pPr>
        <w:ind w:right="-1"/>
      </w:pPr>
    </w:p>
    <w:p w14:paraId="19373A49" w14:textId="77777777" w:rsidR="001C54D6" w:rsidRPr="00B07B17" w:rsidRDefault="001C54D6" w:rsidP="001E0A21">
      <w:pPr>
        <w:numPr>
          <w:ilvl w:val="0"/>
          <w:numId w:val="1"/>
        </w:numPr>
        <w:ind w:right="-1"/>
      </w:pPr>
      <w:r w:rsidRPr="001E0A21">
        <w:rPr>
          <w:b/>
          <w:bCs/>
          <w:color w:val="C00000"/>
        </w:rPr>
        <w:t>Intensidad de innovación:</w:t>
      </w:r>
      <w:r>
        <w:t xml:space="preserve"> (</w:t>
      </w:r>
      <w:r w:rsidRPr="00B07B17">
        <w:t>Gasto actividades innovadoras/cifra de  negocios) x100</w:t>
      </w:r>
    </w:p>
    <w:p w14:paraId="0E27B00A" w14:textId="77777777" w:rsidR="001A4976" w:rsidRDefault="001A4976" w:rsidP="00B00E11">
      <w:pPr>
        <w:pStyle w:val="Texto"/>
        <w:tabs>
          <w:tab w:val="clear" w:pos="397"/>
          <w:tab w:val="left" w:pos="0"/>
        </w:tabs>
        <w:ind w:left="0"/>
        <w:rPr>
          <w:rFonts w:ascii="Times New Roman" w:hAnsi="Times New Roman"/>
          <w:b/>
          <w:spacing w:val="-6"/>
          <w:sz w:val="24"/>
          <w:highlight w:val="yellow"/>
        </w:rPr>
      </w:pPr>
    </w:p>
    <w:p w14:paraId="0D5A9156" w14:textId="77777777" w:rsidR="00FE5710" w:rsidRDefault="001442C0" w:rsidP="00B00E11">
      <w:pPr>
        <w:pStyle w:val="Texto"/>
        <w:tabs>
          <w:tab w:val="clear" w:pos="397"/>
          <w:tab w:val="left" w:pos="0"/>
        </w:tabs>
        <w:ind w:left="0"/>
        <w:rPr>
          <w:rFonts w:ascii="Times New Roman" w:hAnsi="Times New Roman"/>
          <w:b/>
          <w:spacing w:val="-6"/>
          <w:sz w:val="24"/>
        </w:rPr>
      </w:pPr>
      <w:r w:rsidRPr="001E0A21">
        <w:rPr>
          <w:rFonts w:ascii="Times New Roman" w:hAnsi="Times New Roman"/>
          <w:b/>
          <w:spacing w:val="-6"/>
          <w:sz w:val="24"/>
          <w:highlight w:val="yellow"/>
        </w:rPr>
        <w:t>Comunicaciones.</w:t>
      </w:r>
      <w:r w:rsidR="009F0C90">
        <w:rPr>
          <w:rFonts w:ascii="Times New Roman" w:hAnsi="Times New Roman"/>
          <w:b/>
          <w:spacing w:val="-6"/>
          <w:sz w:val="24"/>
        </w:rPr>
        <w:t xml:space="preserve"> </w:t>
      </w:r>
    </w:p>
    <w:p w14:paraId="0D770335" w14:textId="77777777" w:rsidR="00B00E11" w:rsidRDefault="00FE5710" w:rsidP="214079C0">
      <w:pPr>
        <w:pStyle w:val="Texto"/>
        <w:numPr>
          <w:ilvl w:val="0"/>
          <w:numId w:val="8"/>
        </w:numPr>
        <w:tabs>
          <w:tab w:val="clear" w:pos="397"/>
        </w:tabs>
        <w:rPr>
          <w:rFonts w:ascii="Times New Roman" w:hAnsi="Times New Roman"/>
          <w:spacing w:val="-6"/>
          <w:sz w:val="24"/>
          <w:szCs w:val="24"/>
          <w:lang w:val="es-ES"/>
        </w:rPr>
      </w:pPr>
      <w:r w:rsidRPr="214079C0">
        <w:rPr>
          <w:rFonts w:ascii="Times New Roman" w:hAnsi="Times New Roman"/>
          <w:b/>
          <w:bCs/>
          <w:color w:val="C00000"/>
          <w:spacing w:val="-6"/>
          <w:sz w:val="24"/>
          <w:szCs w:val="24"/>
          <w:lang w:val="es-ES"/>
        </w:rPr>
        <w:t>Acceso instalado</w:t>
      </w:r>
      <w:r w:rsidR="001442C0" w:rsidRPr="214079C0">
        <w:rPr>
          <w:rFonts w:ascii="Times New Roman" w:hAnsi="Times New Roman"/>
          <w:b/>
          <w:bCs/>
          <w:spacing w:val="-6"/>
          <w:sz w:val="24"/>
          <w:szCs w:val="24"/>
          <w:lang w:val="es-ES"/>
        </w:rPr>
        <w:t xml:space="preserve">. </w:t>
      </w:r>
      <w:r w:rsidR="001442C0" w:rsidRPr="214079C0">
        <w:rPr>
          <w:rFonts w:ascii="Times New Roman" w:hAnsi="Times New Roman"/>
          <w:spacing w:val="-6"/>
          <w:sz w:val="24"/>
          <w:szCs w:val="24"/>
          <w:lang w:val="es-ES"/>
        </w:rPr>
        <w:t>S</w:t>
      </w:r>
      <w:r w:rsidRPr="214079C0">
        <w:rPr>
          <w:rFonts w:ascii="Times New Roman" w:hAnsi="Times New Roman"/>
          <w:spacing w:val="-6"/>
          <w:sz w:val="24"/>
          <w:szCs w:val="24"/>
          <w:lang w:val="es-ES"/>
        </w:rPr>
        <w:t xml:space="preserve">e contabilizará el número total de accesos físicos instalados en cada provincia según el soporte físico empleado (par de cobre, </w:t>
      </w:r>
      <w:r w:rsidR="00B706F1" w:rsidRPr="214079C0">
        <w:rPr>
          <w:rFonts w:ascii="Times New Roman" w:hAnsi="Times New Roman"/>
          <w:spacing w:val="-6"/>
          <w:sz w:val="24"/>
          <w:szCs w:val="24"/>
          <w:lang w:val="es-ES"/>
        </w:rPr>
        <w:t>fibra híbrida coaxial (</w:t>
      </w:r>
      <w:r w:rsidRPr="214079C0">
        <w:rPr>
          <w:rFonts w:ascii="Times New Roman" w:hAnsi="Times New Roman"/>
          <w:spacing w:val="-6"/>
          <w:sz w:val="24"/>
          <w:szCs w:val="24"/>
          <w:lang w:val="es-ES"/>
        </w:rPr>
        <w:t>HFC</w:t>
      </w:r>
      <w:r w:rsidR="00B706F1" w:rsidRPr="214079C0">
        <w:rPr>
          <w:rFonts w:ascii="Times New Roman" w:hAnsi="Times New Roman"/>
          <w:spacing w:val="-6"/>
          <w:sz w:val="24"/>
          <w:szCs w:val="24"/>
          <w:lang w:val="es-ES"/>
        </w:rPr>
        <w:t>)</w:t>
      </w:r>
      <w:r w:rsidRPr="214079C0">
        <w:rPr>
          <w:rFonts w:ascii="Times New Roman" w:hAnsi="Times New Roman"/>
          <w:spacing w:val="-6"/>
          <w:sz w:val="24"/>
          <w:szCs w:val="24"/>
          <w:lang w:val="es-ES"/>
        </w:rPr>
        <w:t>, radio, fibra óptica,…).En el caso de operadores de cable, un acceso instalado equivale a un acceso comercializable, entendiendo como tal los hogares y/o empresas en los cuales el servicio se puede provisionar en un plazo razonable y corto de tiempo (aprox 48 h).</w:t>
      </w:r>
    </w:p>
    <w:p w14:paraId="68D23A88" w14:textId="77777777" w:rsidR="00FE5710" w:rsidRDefault="00FE5710" w:rsidP="001A4976">
      <w:pPr>
        <w:pStyle w:val="Texto"/>
        <w:numPr>
          <w:ilvl w:val="0"/>
          <w:numId w:val="8"/>
        </w:numPr>
        <w:tabs>
          <w:tab w:val="clear" w:pos="397"/>
          <w:tab w:val="left" w:pos="0"/>
        </w:tabs>
        <w:rPr>
          <w:rFonts w:ascii="Times New Roman" w:hAnsi="Times New Roman"/>
          <w:spacing w:val="-6"/>
          <w:sz w:val="24"/>
        </w:rPr>
      </w:pPr>
      <w:r w:rsidRPr="001A4976">
        <w:rPr>
          <w:rFonts w:ascii="Times New Roman" w:hAnsi="Times New Roman"/>
          <w:b/>
          <w:color w:val="C00000"/>
          <w:spacing w:val="-6"/>
          <w:sz w:val="24"/>
        </w:rPr>
        <w:t>Líneas móviles pospago.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spacing w:val="-6"/>
          <w:sz w:val="24"/>
        </w:rPr>
        <w:t>Líneas en servicio con modalidad de contrato.</w:t>
      </w:r>
    </w:p>
    <w:p w14:paraId="729860FD" w14:textId="77777777" w:rsidR="00EB7737" w:rsidRDefault="00EB7737" w:rsidP="001A4976">
      <w:pPr>
        <w:pStyle w:val="Texto"/>
        <w:numPr>
          <w:ilvl w:val="0"/>
          <w:numId w:val="8"/>
        </w:numPr>
        <w:tabs>
          <w:tab w:val="clear" w:pos="397"/>
          <w:tab w:val="left" w:pos="0"/>
        </w:tabs>
        <w:rPr>
          <w:rFonts w:ascii="Times New Roman" w:hAnsi="Times New Roman"/>
          <w:spacing w:val="-6"/>
          <w:sz w:val="24"/>
        </w:rPr>
      </w:pPr>
      <w:r w:rsidRPr="001A4976">
        <w:rPr>
          <w:rFonts w:ascii="Times New Roman" w:hAnsi="Times New Roman"/>
          <w:b/>
          <w:color w:val="C00000"/>
          <w:spacing w:val="-6"/>
          <w:sz w:val="24"/>
        </w:rPr>
        <w:t>Bucles desagregados.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spacing w:val="-6"/>
          <w:sz w:val="24"/>
        </w:rPr>
        <w:t>El bucle es el nombre técnico con el que se denomina al tramo de línea telefónica que va desde la central hasta el lugar donde se ubica el abonado.</w:t>
      </w:r>
    </w:p>
    <w:p w14:paraId="423F36D6" w14:textId="77777777" w:rsidR="00EB7737" w:rsidRDefault="00EB7737" w:rsidP="001A4976">
      <w:pPr>
        <w:pStyle w:val="Texto"/>
        <w:numPr>
          <w:ilvl w:val="0"/>
          <w:numId w:val="8"/>
        </w:numPr>
        <w:tabs>
          <w:tab w:val="clear" w:pos="397"/>
          <w:tab w:val="left" w:pos="0"/>
        </w:tabs>
        <w:rPr>
          <w:rFonts w:ascii="Times New Roman" w:hAnsi="Times New Roman"/>
          <w:spacing w:val="-6"/>
          <w:sz w:val="24"/>
        </w:rPr>
      </w:pPr>
      <w:r w:rsidRPr="001A4976">
        <w:rPr>
          <w:rFonts w:ascii="Times New Roman" w:hAnsi="Times New Roman"/>
          <w:b/>
          <w:color w:val="C00000"/>
          <w:spacing w:val="-6"/>
          <w:sz w:val="24"/>
        </w:rPr>
        <w:t>Televisión de pago.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spacing w:val="-6"/>
          <w:sz w:val="24"/>
        </w:rPr>
        <w:t>Modalidad de servicio de televisión en donde el usuario ha de abonarse y pagar una cuota de alta y/o abono para acceder a los contenidos.</w:t>
      </w:r>
    </w:p>
    <w:p w14:paraId="3C5B853D" w14:textId="77777777" w:rsidR="009C5F04" w:rsidRDefault="00EB7737" w:rsidP="001A4976">
      <w:pPr>
        <w:pStyle w:val="Texto"/>
        <w:numPr>
          <w:ilvl w:val="0"/>
          <w:numId w:val="8"/>
        </w:numPr>
        <w:tabs>
          <w:tab w:val="clear" w:pos="397"/>
          <w:tab w:val="left" w:pos="0"/>
        </w:tabs>
        <w:rPr>
          <w:rFonts w:ascii="Times New Roman" w:hAnsi="Times New Roman"/>
          <w:spacing w:val="-6"/>
          <w:sz w:val="24"/>
        </w:rPr>
      </w:pPr>
      <w:r w:rsidRPr="001A4976">
        <w:rPr>
          <w:rFonts w:ascii="Times New Roman" w:hAnsi="Times New Roman"/>
          <w:b/>
          <w:color w:val="C00000"/>
          <w:spacing w:val="-6"/>
          <w:sz w:val="24"/>
        </w:rPr>
        <w:t>Abonados a la televisión de pago.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spacing w:val="-6"/>
          <w:sz w:val="24"/>
        </w:rPr>
        <w:t>Recoge el número de abonados a servicios de televisión de pago a través de plataformas de televisión por satélite, televisión por cable, televisión IP y televisión digital terrestre. No incluye abonados a servicios de contenidos audiovisuales por móvil.</w:t>
      </w:r>
    </w:p>
    <w:p w14:paraId="632DE7B9" w14:textId="77777777" w:rsidR="00EB7737" w:rsidRDefault="009C5F04" w:rsidP="001A4976">
      <w:pPr>
        <w:pStyle w:val="Texto"/>
        <w:numPr>
          <w:ilvl w:val="0"/>
          <w:numId w:val="8"/>
        </w:numPr>
        <w:tabs>
          <w:tab w:val="clear" w:pos="397"/>
          <w:tab w:val="left" w:pos="0"/>
        </w:tabs>
        <w:rPr>
          <w:rFonts w:ascii="Times New Roman" w:hAnsi="Times New Roman"/>
          <w:spacing w:val="-6"/>
          <w:sz w:val="24"/>
        </w:rPr>
      </w:pPr>
      <w:r w:rsidRPr="001A4976">
        <w:rPr>
          <w:rFonts w:ascii="Times New Roman" w:hAnsi="Times New Roman"/>
          <w:b/>
          <w:color w:val="C00000"/>
          <w:spacing w:val="-6"/>
          <w:sz w:val="24"/>
        </w:rPr>
        <w:t>Cuota de telefonía fija.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spacing w:val="-6"/>
          <w:sz w:val="24"/>
        </w:rPr>
        <w:t>Cuota calculada sobre el total de líneas de telefonía fija en servicio.</w:t>
      </w:r>
    </w:p>
    <w:p w14:paraId="018C9FD6" w14:textId="77777777" w:rsidR="009C5F04" w:rsidRDefault="009C5F04" w:rsidP="001A4976">
      <w:pPr>
        <w:pStyle w:val="Texto"/>
        <w:numPr>
          <w:ilvl w:val="0"/>
          <w:numId w:val="8"/>
        </w:numPr>
        <w:tabs>
          <w:tab w:val="clear" w:pos="397"/>
          <w:tab w:val="left" w:pos="0"/>
        </w:tabs>
        <w:rPr>
          <w:rFonts w:ascii="Times New Roman" w:hAnsi="Times New Roman"/>
          <w:spacing w:val="-6"/>
          <w:sz w:val="24"/>
        </w:rPr>
      </w:pPr>
      <w:r w:rsidRPr="001A4976">
        <w:rPr>
          <w:rFonts w:ascii="Times New Roman" w:hAnsi="Times New Roman"/>
          <w:b/>
          <w:color w:val="C00000"/>
          <w:spacing w:val="-6"/>
          <w:sz w:val="24"/>
        </w:rPr>
        <w:t>Cuota de banda ancha.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spacing w:val="-6"/>
          <w:sz w:val="24"/>
        </w:rPr>
        <w:t>Cuota calculada sobre el total de líneas de banda ancha en servicio (</w:t>
      </w:r>
      <w:r w:rsidR="000177C9">
        <w:rPr>
          <w:rFonts w:ascii="Times New Roman" w:hAnsi="Times New Roman"/>
          <w:spacing w:val="-6"/>
          <w:sz w:val="24"/>
        </w:rPr>
        <w:t>líneas de subscripción digital (</w:t>
      </w:r>
      <w:r>
        <w:rPr>
          <w:rFonts w:ascii="Times New Roman" w:hAnsi="Times New Roman"/>
          <w:spacing w:val="-6"/>
          <w:sz w:val="24"/>
        </w:rPr>
        <w:t>xDSL</w:t>
      </w:r>
      <w:r w:rsidR="000177C9">
        <w:rPr>
          <w:rFonts w:ascii="Times New Roman" w:hAnsi="Times New Roman"/>
          <w:spacing w:val="-6"/>
          <w:sz w:val="24"/>
        </w:rPr>
        <w:t>)</w:t>
      </w:r>
      <w:r>
        <w:rPr>
          <w:rFonts w:ascii="Times New Roman" w:hAnsi="Times New Roman"/>
          <w:spacing w:val="-6"/>
          <w:sz w:val="24"/>
        </w:rPr>
        <w:t xml:space="preserve"> y cablemódem).</w:t>
      </w:r>
    </w:p>
    <w:p w14:paraId="60061E4C" w14:textId="77777777" w:rsidR="001442C0" w:rsidRDefault="001442C0" w:rsidP="00B00E11">
      <w:pPr>
        <w:pStyle w:val="Texto"/>
        <w:tabs>
          <w:tab w:val="clear" w:pos="397"/>
          <w:tab w:val="left" w:pos="0"/>
        </w:tabs>
        <w:ind w:left="0"/>
        <w:rPr>
          <w:rFonts w:ascii="Times New Roman" w:hAnsi="Times New Roman"/>
          <w:spacing w:val="-6"/>
          <w:sz w:val="24"/>
        </w:rPr>
      </w:pPr>
    </w:p>
    <w:p w14:paraId="44EAFD9C" w14:textId="77777777" w:rsidR="001A4976" w:rsidRDefault="001A4976" w:rsidP="00B00E11">
      <w:pPr>
        <w:autoSpaceDE w:val="0"/>
        <w:autoSpaceDN w:val="0"/>
        <w:adjustRightInd w:val="0"/>
        <w:rPr>
          <w:b/>
          <w:highlight w:val="yellow"/>
        </w:rPr>
      </w:pPr>
    </w:p>
    <w:p w14:paraId="4DC424D3" w14:textId="77777777" w:rsidR="00B00E11" w:rsidRPr="00584B5B" w:rsidRDefault="00B00E11" w:rsidP="00B00E11">
      <w:pPr>
        <w:autoSpaceDE w:val="0"/>
        <w:autoSpaceDN w:val="0"/>
        <w:adjustRightInd w:val="0"/>
        <w:rPr>
          <w:snapToGrid w:val="0"/>
        </w:rPr>
      </w:pPr>
      <w:r w:rsidRPr="001A4976">
        <w:rPr>
          <w:b/>
          <w:highlight w:val="yellow"/>
        </w:rPr>
        <w:t>El uso de las tecnologías de la información y las comunicaciones (TIC) en las empresas</w:t>
      </w:r>
      <w:r>
        <w:rPr>
          <w:b/>
        </w:rPr>
        <w:t>,</w:t>
      </w:r>
      <w:r w:rsidRPr="00584B5B">
        <w:rPr>
          <w:rFonts w:ascii="Courier" w:hAnsi="Courier" w:cs="Courier"/>
          <w:sz w:val="20"/>
        </w:rPr>
        <w:t xml:space="preserve"> </w:t>
      </w:r>
      <w:r w:rsidRPr="00584B5B">
        <w:rPr>
          <w:snapToGrid w:val="0"/>
        </w:rPr>
        <w:t>trata de obtener información sobre la disponibilidad, por parte de las empresas, de distintos servicios informáticos y de telecomunicaciones: Ordenadores, red de área local, conexión a Internet, Intranet, Extranet y correo electrónico.</w:t>
      </w:r>
    </w:p>
    <w:p w14:paraId="4B94D5A5" w14:textId="77777777" w:rsidR="00B00E11" w:rsidRDefault="00B00E11" w:rsidP="00B00E11">
      <w:pPr>
        <w:rPr>
          <w:b/>
        </w:rPr>
      </w:pPr>
    </w:p>
    <w:p w14:paraId="3DEEC669" w14:textId="77777777" w:rsidR="00C13FBF" w:rsidRDefault="00C13FBF"/>
    <w:p w14:paraId="0CD5F573" w14:textId="77777777" w:rsidR="002238C0" w:rsidRDefault="002238C0" w:rsidP="001A4976">
      <w:pPr>
        <w:numPr>
          <w:ilvl w:val="0"/>
          <w:numId w:val="2"/>
        </w:numPr>
      </w:pPr>
      <w:r>
        <w:t xml:space="preserve">La </w:t>
      </w:r>
      <w:r w:rsidRPr="002238C0">
        <w:rPr>
          <w:b/>
        </w:rPr>
        <w:t>Encuesta sobre Equipamiento y Uso de Tecnologías de Información y Comunicación en los Hogares</w:t>
      </w:r>
      <w:r>
        <w:t xml:space="preserve"> tiene por objetivo c</w:t>
      </w:r>
      <w:r w:rsidRPr="002238C0">
        <w:t>onocer el equipamiento en tecnologías de la información y la comunicación (TIC)</w:t>
      </w:r>
      <w:r>
        <w:t xml:space="preserve"> </w:t>
      </w:r>
      <w:r w:rsidRPr="002238C0">
        <w:t>de las viviendas españolas y especialmente, el</w:t>
      </w:r>
      <w:r>
        <w:t xml:space="preserve"> equipamiento informático, y c</w:t>
      </w:r>
      <w:r w:rsidRPr="002238C0">
        <w:t>onocer el uso que hace la población española de Internet y del comercio</w:t>
      </w:r>
      <w:r>
        <w:t xml:space="preserve"> </w:t>
      </w:r>
      <w:r w:rsidRPr="002238C0">
        <w:t>electrónico.</w:t>
      </w:r>
      <w:r w:rsidR="00D61294">
        <w:t xml:space="preserve"> El tamaño de la muestra está entorno a las 20.000 familias encuestadas en España, 1.000 de ellas en Castilla-La Mancha.</w:t>
      </w:r>
    </w:p>
    <w:p w14:paraId="3656B9AB" w14:textId="77777777" w:rsidR="002238C0" w:rsidRDefault="002238C0" w:rsidP="002238C0"/>
    <w:p w14:paraId="738DE4C2" w14:textId="77777777" w:rsidR="002238C0" w:rsidRPr="00A673D9" w:rsidRDefault="002238C0" w:rsidP="001A4976">
      <w:pPr>
        <w:numPr>
          <w:ilvl w:val="0"/>
          <w:numId w:val="2"/>
        </w:numPr>
      </w:pPr>
      <w:r w:rsidRPr="00A673D9">
        <w:rPr>
          <w:b/>
        </w:rPr>
        <w:t>TIC (=Tecnologías de la Información y de las Comunicaciones)</w:t>
      </w:r>
      <w:r>
        <w:rPr>
          <w:b/>
        </w:rPr>
        <w:t>.</w:t>
      </w:r>
      <w:r>
        <w:rPr>
          <w:rFonts w:ascii="Univers-Bold" w:hAnsi="Univers-Bold" w:cs="Univers-Bold"/>
          <w:b/>
          <w:bCs/>
          <w:sz w:val="22"/>
          <w:szCs w:val="22"/>
        </w:rPr>
        <w:t xml:space="preserve"> </w:t>
      </w:r>
      <w:r w:rsidRPr="00A673D9">
        <w:t>Conjunto de herramientas, habitualmente de</w:t>
      </w:r>
      <w:r>
        <w:t xml:space="preserve"> </w:t>
      </w:r>
      <w:r w:rsidRPr="00A673D9">
        <w:t>naturaleza electrónica, utilizadas para la recogida, almacenamiento, tratamiento,</w:t>
      </w:r>
      <w:r>
        <w:t xml:space="preserve"> </w:t>
      </w:r>
      <w:r w:rsidRPr="00A673D9">
        <w:t>difusión y transmisión de la información.</w:t>
      </w:r>
    </w:p>
    <w:p w14:paraId="45FB0818" w14:textId="77777777" w:rsidR="002238C0" w:rsidRPr="002238C0" w:rsidRDefault="002238C0" w:rsidP="002238C0"/>
    <w:p w14:paraId="1D6E9B34" w14:textId="77777777" w:rsidR="00A673D9" w:rsidRPr="00A673D9" w:rsidRDefault="00A673D9" w:rsidP="00A673D9">
      <w:r w:rsidRPr="001A4976">
        <w:rPr>
          <w:b/>
          <w:highlight w:val="cyan"/>
        </w:rPr>
        <w:t>Vivienda familiar.</w:t>
      </w:r>
      <w:r w:rsidRPr="001A4976">
        <w:rPr>
          <w:highlight w:val="cyan"/>
        </w:rPr>
        <w:t xml:space="preserve"> Toda habitación o conjunto de habitaciones y sus dependencias que ocupan un edificio o una parte estructuralmente separada del mismo y que, por la forma en que han sido construidas, reconstruidas o transformadas, están destinadas a ser habitadas por una o varias familias o personas individuales y en la fecha de la entrevista no se utilizan totalmente para otros fines.</w:t>
      </w:r>
    </w:p>
    <w:p w14:paraId="049F31CB" w14:textId="77777777" w:rsidR="00A673D9" w:rsidRDefault="00A673D9"/>
    <w:p w14:paraId="19F7A47B" w14:textId="77777777" w:rsidR="00A673D9" w:rsidRPr="00A673D9" w:rsidRDefault="00A673D9" w:rsidP="00A673D9">
      <w:r w:rsidRPr="001A4976">
        <w:rPr>
          <w:b/>
          <w:highlight w:val="cyan"/>
        </w:rPr>
        <w:t>Hogar</w:t>
      </w:r>
      <w:r w:rsidRPr="001A4976">
        <w:rPr>
          <w:highlight w:val="cyan"/>
        </w:rPr>
        <w:t>. Persona o conjunto de personas que ocupan en común una vivienda familiar principal. A efectos de esta encuesta el concepto de hogar se asimila al de vivienda.</w:t>
      </w:r>
    </w:p>
    <w:p w14:paraId="53128261" w14:textId="77777777" w:rsidR="002238C0" w:rsidRDefault="002238C0"/>
    <w:p w14:paraId="3CB5FF88" w14:textId="77777777" w:rsidR="00D37761" w:rsidRPr="00D37761" w:rsidRDefault="00D37761" w:rsidP="001A4976">
      <w:pPr>
        <w:numPr>
          <w:ilvl w:val="0"/>
          <w:numId w:val="2"/>
        </w:numPr>
      </w:pPr>
      <w:r w:rsidRPr="00D37761">
        <w:rPr>
          <w:b/>
        </w:rPr>
        <w:t>Ordenador personal</w:t>
      </w:r>
      <w:r>
        <w:rPr>
          <w:b/>
        </w:rPr>
        <w:t>.</w:t>
      </w:r>
      <w:r w:rsidRPr="00D37761">
        <w:t xml:space="preserve"> Máquina electrónica de computación</w:t>
      </w:r>
      <w:r>
        <w:t xml:space="preserve"> </w:t>
      </w:r>
      <w:r w:rsidRPr="00D37761">
        <w:t>de tamaño sobremesa y de prestaciones cada vez más elevadas que es capaz de</w:t>
      </w:r>
      <w:r>
        <w:t xml:space="preserve"> </w:t>
      </w:r>
      <w:r w:rsidRPr="00D37761">
        <w:t>procesar información siguiendo instrucciones almacenadas en programas.</w:t>
      </w:r>
    </w:p>
    <w:p w14:paraId="62486C05" w14:textId="77777777" w:rsidR="00D37761" w:rsidRDefault="00D37761" w:rsidP="00D37761"/>
    <w:p w14:paraId="01271076" w14:textId="77777777" w:rsidR="00D37761" w:rsidRPr="00D37761" w:rsidRDefault="00D37761" w:rsidP="001A4976">
      <w:pPr>
        <w:numPr>
          <w:ilvl w:val="0"/>
          <w:numId w:val="2"/>
        </w:numPr>
      </w:pPr>
      <w:r w:rsidRPr="00D37761">
        <w:rPr>
          <w:b/>
        </w:rPr>
        <w:t>Ordenador Portátil</w:t>
      </w:r>
      <w:r>
        <w:t xml:space="preserve">. </w:t>
      </w:r>
      <w:r w:rsidRPr="00D37761">
        <w:t>Ordenador de tamaño pequeño-medio, que se puede transportar como un maletín y</w:t>
      </w:r>
      <w:r>
        <w:t xml:space="preserve"> </w:t>
      </w:r>
      <w:r w:rsidRPr="00D37761">
        <w:t>apoyar en el regazo (lap).</w:t>
      </w:r>
    </w:p>
    <w:p w14:paraId="4101652C" w14:textId="77777777" w:rsidR="00D37761" w:rsidRDefault="00D37761" w:rsidP="00D37761"/>
    <w:p w14:paraId="6C1C26A3" w14:textId="77777777" w:rsidR="00D37761" w:rsidRPr="00D37761" w:rsidRDefault="00D37761" w:rsidP="001A4976">
      <w:pPr>
        <w:numPr>
          <w:ilvl w:val="0"/>
          <w:numId w:val="2"/>
        </w:numPr>
      </w:pPr>
      <w:r w:rsidRPr="00D37761">
        <w:rPr>
          <w:b/>
        </w:rPr>
        <w:t>Hand-Held Personal Computer</w:t>
      </w:r>
      <w:r w:rsidRPr="00D37761">
        <w:t xml:space="preserve"> </w:t>
      </w:r>
      <w:r w:rsidR="009F0C90" w:rsidRPr="00D37761">
        <w:t>(=</w:t>
      </w:r>
      <w:r w:rsidRPr="00D37761">
        <w:t>ordenador personal de mano)</w:t>
      </w:r>
      <w:r>
        <w:t>.</w:t>
      </w:r>
      <w:r w:rsidRPr="00D37761">
        <w:t xml:space="preserve"> Ordenador</w:t>
      </w:r>
    </w:p>
    <w:p w14:paraId="645F12CA" w14:textId="77777777" w:rsidR="00D37761" w:rsidRPr="00D37761" w:rsidRDefault="00D37761" w:rsidP="00D37761">
      <w:r w:rsidRPr="00D37761">
        <w:t>de pequeño tamaño, típicamente la mitad de un folio de papel, que permite, entre otras</w:t>
      </w:r>
    </w:p>
    <w:p w14:paraId="0E6B7991" w14:textId="77777777" w:rsidR="00D37761" w:rsidRPr="00D37761" w:rsidRDefault="00D37761" w:rsidP="00D37761">
      <w:r w:rsidRPr="00D37761">
        <w:t>tareas típicas de un ordenador personal, la conexión a Internet.</w:t>
      </w:r>
    </w:p>
    <w:p w14:paraId="4B99056E" w14:textId="77777777" w:rsidR="00D37761" w:rsidRDefault="00D37761" w:rsidP="00D37761"/>
    <w:p w14:paraId="2B21E31F" w14:textId="77777777" w:rsidR="00D37761" w:rsidRDefault="00D37761" w:rsidP="001A4976">
      <w:pPr>
        <w:numPr>
          <w:ilvl w:val="0"/>
          <w:numId w:val="2"/>
        </w:numPr>
      </w:pPr>
      <w:r w:rsidRPr="00D37761">
        <w:rPr>
          <w:b/>
        </w:rPr>
        <w:t>PDA</w:t>
      </w:r>
      <w:r w:rsidRPr="00D37761">
        <w:t xml:space="preserve"> (=Asistente Personal Digital): Ordenador de</w:t>
      </w:r>
      <w:r>
        <w:t xml:space="preserve"> </w:t>
      </w:r>
      <w:r w:rsidRPr="00D37761">
        <w:t>pequeño tamaño cuya principal función era en principio la de mantener una agenda</w:t>
      </w:r>
      <w:r>
        <w:t xml:space="preserve"> </w:t>
      </w:r>
      <w:r w:rsidRPr="00D37761">
        <w:t>electrónica, aunque cada vez más se va confundiendo con los ordenadores de mano y de</w:t>
      </w:r>
      <w:r>
        <w:t xml:space="preserve"> </w:t>
      </w:r>
      <w:r w:rsidRPr="00D37761">
        <w:t>palma (=palm top), y se está integrando con otros dispositivos como los teléfonos</w:t>
      </w:r>
      <w:r>
        <w:t xml:space="preserve"> </w:t>
      </w:r>
      <w:r w:rsidRPr="00D37761">
        <w:t>móviles. Se le denomina también ordenador de bolsillo (=pocketPC).</w:t>
      </w:r>
    </w:p>
    <w:p w14:paraId="1299C43A" w14:textId="77777777" w:rsidR="00D37761" w:rsidRPr="00D37761" w:rsidRDefault="00D37761" w:rsidP="00D37761"/>
    <w:p w14:paraId="492C743A" w14:textId="77777777" w:rsidR="00D37761" w:rsidRDefault="00D37761" w:rsidP="001A4976">
      <w:pPr>
        <w:numPr>
          <w:ilvl w:val="0"/>
          <w:numId w:val="2"/>
        </w:numPr>
      </w:pPr>
      <w:r>
        <w:rPr>
          <w:b/>
        </w:rPr>
        <w:t>P</w:t>
      </w:r>
      <w:r w:rsidRPr="00D37761">
        <w:rPr>
          <w:b/>
        </w:rPr>
        <w:t>almtop</w:t>
      </w:r>
      <w:r w:rsidRPr="00D37761">
        <w:t xml:space="preserve"> (</w:t>
      </w:r>
      <w:r>
        <w:t>ordenador de palma</w:t>
      </w:r>
      <w:r w:rsidRPr="00D37761">
        <w:t>) Ordenador de</w:t>
      </w:r>
      <w:r>
        <w:t xml:space="preserve"> </w:t>
      </w:r>
      <w:r w:rsidRPr="00D37761">
        <w:t>pequeño tamaño, algo mayor que un paquete de cigarrillos, que se puede llevar en</w:t>
      </w:r>
      <w:r>
        <w:t xml:space="preserve"> </w:t>
      </w:r>
      <w:r w:rsidRPr="00D37761">
        <w:t>la palma de la mano (palm) y que, además de otras funciones, permite la conexión</w:t>
      </w:r>
      <w:r>
        <w:t xml:space="preserve"> </w:t>
      </w:r>
      <w:r w:rsidRPr="00D37761">
        <w:t>con Internet. Generalmente se identifican con los PDAs.</w:t>
      </w:r>
    </w:p>
    <w:p w14:paraId="4DDBEF00" w14:textId="77777777" w:rsidR="00D37761" w:rsidRPr="00D37761" w:rsidRDefault="00D37761" w:rsidP="00D37761"/>
    <w:p w14:paraId="28462584" w14:textId="77777777" w:rsidR="00D37761" w:rsidRDefault="00D37761" w:rsidP="001A4976">
      <w:pPr>
        <w:numPr>
          <w:ilvl w:val="0"/>
          <w:numId w:val="2"/>
        </w:numPr>
        <w:rPr>
          <w:rFonts w:ascii="Univers-Bold" w:hAnsi="Univers-Bold" w:cs="Univers-Bold"/>
          <w:sz w:val="20"/>
        </w:rPr>
      </w:pPr>
      <w:r w:rsidRPr="00D37761">
        <w:rPr>
          <w:b/>
        </w:rPr>
        <w:t>Pocket PC</w:t>
      </w:r>
      <w:r w:rsidRPr="00D37761">
        <w:t xml:space="preserve"> (=ordenador de bolsillo).</w:t>
      </w:r>
    </w:p>
    <w:p w14:paraId="3461D779" w14:textId="77777777" w:rsidR="00D37761" w:rsidRDefault="00D37761"/>
    <w:p w14:paraId="50699A12" w14:textId="77777777" w:rsidR="009D4884" w:rsidRPr="009D4884" w:rsidRDefault="009D4884" w:rsidP="001A4976">
      <w:pPr>
        <w:numPr>
          <w:ilvl w:val="0"/>
          <w:numId w:val="2"/>
        </w:numPr>
      </w:pPr>
      <w:r w:rsidRPr="009D4884">
        <w:rPr>
          <w:b/>
        </w:rPr>
        <w:t xml:space="preserve">RDSI </w:t>
      </w:r>
      <w:r w:rsidRPr="009D4884">
        <w:t>(=Red Digital de Servicios Integrados): Tecnología de transmisión que combina servicios de voz y digitales a través de la</w:t>
      </w:r>
      <w:r>
        <w:t xml:space="preserve"> </w:t>
      </w:r>
      <w:r w:rsidRPr="009D4884">
        <w:t>red en un solo medio, haciendo posible ofrecer a los clientes servicios digitales de datos así</w:t>
      </w:r>
      <w:r>
        <w:t xml:space="preserve"> </w:t>
      </w:r>
      <w:r w:rsidRPr="009D4884">
        <w:t>como conexiones de voz a través de un solo 'cable', con una velocidad máxima de</w:t>
      </w:r>
      <w:r>
        <w:t xml:space="preserve"> </w:t>
      </w:r>
      <w:r w:rsidRPr="009D4884">
        <w:t>transmisión de 128 Kbps. Los estándares de la ISDN los especifica la ITU-TSS.</w:t>
      </w:r>
    </w:p>
    <w:p w14:paraId="3CF2D8B6" w14:textId="77777777" w:rsidR="009D4884" w:rsidRDefault="009D4884" w:rsidP="009D4884">
      <w:pPr>
        <w:rPr>
          <w:b/>
        </w:rPr>
      </w:pPr>
    </w:p>
    <w:p w14:paraId="5EC0320B" w14:textId="77777777" w:rsidR="009D4884" w:rsidRPr="009D4884" w:rsidRDefault="009D4884" w:rsidP="001A4976">
      <w:pPr>
        <w:numPr>
          <w:ilvl w:val="0"/>
          <w:numId w:val="2"/>
        </w:numPr>
      </w:pPr>
      <w:r w:rsidRPr="009D4884">
        <w:rPr>
          <w:b/>
        </w:rPr>
        <w:t>ADSL</w:t>
      </w:r>
      <w:r w:rsidRPr="009D4884">
        <w:t xml:space="preserve"> (=Línea de Subscripción Asimétrica</w:t>
      </w:r>
      <w:r>
        <w:t xml:space="preserve"> </w:t>
      </w:r>
      <w:r w:rsidRPr="009D4884">
        <w:t>Digital): Tecnología de transmisión de tipo xDSL, que permite conectar un módem a los</w:t>
      </w:r>
      <w:r>
        <w:t xml:space="preserve"> </w:t>
      </w:r>
      <w:r w:rsidRPr="009D4884">
        <w:t>hilos telefónicos de cobre convencionales a una alta velocidad de transmisión. Es la más</w:t>
      </w:r>
      <w:r>
        <w:t xml:space="preserve"> </w:t>
      </w:r>
      <w:r w:rsidRPr="009D4884">
        <w:t>utilizada actualmente y se denomina asimétrica porque permite más velocidad en la</w:t>
      </w:r>
      <w:r>
        <w:t xml:space="preserve"> </w:t>
      </w:r>
      <w:r w:rsidRPr="009D4884">
        <w:t>recepción de datos por parte del usuario que en la emisión de datos por éste.</w:t>
      </w:r>
    </w:p>
    <w:p w14:paraId="0FB78278" w14:textId="77777777" w:rsidR="009D4884" w:rsidRDefault="009D4884"/>
    <w:p w14:paraId="66DDB8D6" w14:textId="77777777" w:rsidR="003D4C78" w:rsidRPr="003D4C78" w:rsidRDefault="003D4C78" w:rsidP="001A4976">
      <w:pPr>
        <w:numPr>
          <w:ilvl w:val="0"/>
          <w:numId w:val="2"/>
        </w:numPr>
      </w:pPr>
      <w:r w:rsidRPr="003D4C78">
        <w:rPr>
          <w:b/>
        </w:rPr>
        <w:t>Red de cable</w:t>
      </w:r>
      <w:r w:rsidRPr="003D4C78">
        <w:t>: Red de comunicaciones de hilo óptico que integra los servicios de</w:t>
      </w:r>
      <w:r>
        <w:t xml:space="preserve"> </w:t>
      </w:r>
      <w:r w:rsidRPr="003D4C78">
        <w:t>televisión, transmisión de datos y telefonía. A través de este sistema se pueden ver</w:t>
      </w:r>
      <w:r>
        <w:t xml:space="preserve"> </w:t>
      </w:r>
      <w:r w:rsidRPr="003D4C78">
        <w:t>las siguientes canales: Madritel (Madrid), Euskaltel (País Vasco), Ono (Comunidad</w:t>
      </w:r>
      <w:r>
        <w:t xml:space="preserve"> </w:t>
      </w:r>
      <w:r w:rsidRPr="003D4C78">
        <w:t>Valenciana), Menta (Andalucía), Retecal (Castilla-León), R (Galicia), Supercable.</w:t>
      </w:r>
    </w:p>
    <w:p w14:paraId="1FC39945" w14:textId="77777777" w:rsidR="004A4D6A" w:rsidRDefault="004A4D6A">
      <w:pPr>
        <w:jc w:val="both"/>
        <w:rPr>
          <w:snapToGrid w:val="0"/>
        </w:rPr>
      </w:pPr>
    </w:p>
    <w:p w14:paraId="0562CB0E" w14:textId="77777777" w:rsidR="002A56A5" w:rsidRDefault="002A56A5">
      <w:pPr>
        <w:jc w:val="both"/>
        <w:rPr>
          <w:snapToGrid w:val="0"/>
        </w:rPr>
      </w:pPr>
    </w:p>
    <w:sectPr w:rsidR="002A56A5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BHHFN N+ Univer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D1361"/>
    <w:multiLevelType w:val="hybridMultilevel"/>
    <w:tmpl w:val="F6AA9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65571"/>
    <w:multiLevelType w:val="hybridMultilevel"/>
    <w:tmpl w:val="AD7E608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3B76ECB"/>
    <w:multiLevelType w:val="hybridMultilevel"/>
    <w:tmpl w:val="8054B5DC"/>
    <w:lvl w:ilvl="0" w:tplc="51FE005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4285D"/>
    <w:multiLevelType w:val="hybridMultilevel"/>
    <w:tmpl w:val="85D6DD92"/>
    <w:lvl w:ilvl="0" w:tplc="0C0A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45C258F9"/>
    <w:multiLevelType w:val="hybridMultilevel"/>
    <w:tmpl w:val="59EE86B2"/>
    <w:lvl w:ilvl="0" w:tplc="E6B2FE2C">
      <w:start w:val="1"/>
      <w:numFmt w:val="decimal"/>
      <w:lvlText w:val="%1."/>
      <w:lvlJc w:val="left"/>
      <w:pPr>
        <w:ind w:left="720" w:hanging="360"/>
      </w:pPr>
      <w:rPr>
        <w:b/>
        <w:bCs/>
        <w:color w:val="C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D275F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674D37E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739E4F2E"/>
    <w:multiLevelType w:val="hybridMultilevel"/>
    <w:tmpl w:val="2F8693B8"/>
    <w:lvl w:ilvl="0" w:tplc="ACDE366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284E2E"/>
    <w:multiLevelType w:val="singleLevel"/>
    <w:tmpl w:val="98B6F3C4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02380014">
    <w:abstractNumId w:val="7"/>
  </w:num>
  <w:num w:numId="2" w16cid:durableId="269746795">
    <w:abstractNumId w:val="0"/>
  </w:num>
  <w:num w:numId="3" w16cid:durableId="357851379">
    <w:abstractNumId w:val="8"/>
  </w:num>
  <w:num w:numId="4" w16cid:durableId="389886536">
    <w:abstractNumId w:val="1"/>
  </w:num>
  <w:num w:numId="5" w16cid:durableId="599219223">
    <w:abstractNumId w:val="6"/>
  </w:num>
  <w:num w:numId="6" w16cid:durableId="715392974">
    <w:abstractNumId w:val="5"/>
  </w:num>
  <w:num w:numId="7" w16cid:durableId="890766857">
    <w:abstractNumId w:val="3"/>
  </w:num>
  <w:num w:numId="8" w16cid:durableId="907306954">
    <w:abstractNumId w:val="2"/>
  </w:num>
  <w:num w:numId="9" w16cid:durableId="998853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AC"/>
    <w:rsid w:val="000125B7"/>
    <w:rsid w:val="000177C9"/>
    <w:rsid w:val="000C07BC"/>
    <w:rsid w:val="001442C0"/>
    <w:rsid w:val="001A4976"/>
    <w:rsid w:val="001C54D6"/>
    <w:rsid w:val="001E0A21"/>
    <w:rsid w:val="002238C0"/>
    <w:rsid w:val="00251358"/>
    <w:rsid w:val="002A56A5"/>
    <w:rsid w:val="002C2480"/>
    <w:rsid w:val="00321043"/>
    <w:rsid w:val="0035517F"/>
    <w:rsid w:val="003851E1"/>
    <w:rsid w:val="00386D8A"/>
    <w:rsid w:val="003C1DCF"/>
    <w:rsid w:val="003D4C78"/>
    <w:rsid w:val="00424B5B"/>
    <w:rsid w:val="004A4D6A"/>
    <w:rsid w:val="00584B5B"/>
    <w:rsid w:val="005A2DC0"/>
    <w:rsid w:val="005C15B0"/>
    <w:rsid w:val="006A6804"/>
    <w:rsid w:val="006C41A2"/>
    <w:rsid w:val="006E0FE2"/>
    <w:rsid w:val="00864808"/>
    <w:rsid w:val="008A0FC9"/>
    <w:rsid w:val="008F0F33"/>
    <w:rsid w:val="00900422"/>
    <w:rsid w:val="00980B34"/>
    <w:rsid w:val="009C5F04"/>
    <w:rsid w:val="009D4884"/>
    <w:rsid w:val="009D6515"/>
    <w:rsid w:val="009F0C90"/>
    <w:rsid w:val="00A20099"/>
    <w:rsid w:val="00A54D41"/>
    <w:rsid w:val="00A673D9"/>
    <w:rsid w:val="00AA0B79"/>
    <w:rsid w:val="00AD1D0F"/>
    <w:rsid w:val="00B00E11"/>
    <w:rsid w:val="00B706F1"/>
    <w:rsid w:val="00B945DC"/>
    <w:rsid w:val="00BA7F08"/>
    <w:rsid w:val="00BF19B3"/>
    <w:rsid w:val="00C13FBF"/>
    <w:rsid w:val="00C34932"/>
    <w:rsid w:val="00C8337C"/>
    <w:rsid w:val="00CD1D1B"/>
    <w:rsid w:val="00CF4057"/>
    <w:rsid w:val="00D37761"/>
    <w:rsid w:val="00D61294"/>
    <w:rsid w:val="00E730AC"/>
    <w:rsid w:val="00EB7737"/>
    <w:rsid w:val="00F35CF0"/>
    <w:rsid w:val="00FA07F7"/>
    <w:rsid w:val="00FE5710"/>
    <w:rsid w:val="0ADB71ED"/>
    <w:rsid w:val="138CF50B"/>
    <w:rsid w:val="15A4BB9A"/>
    <w:rsid w:val="214079C0"/>
    <w:rsid w:val="24BD2745"/>
    <w:rsid w:val="37574D55"/>
    <w:rsid w:val="7AEFD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DE79047"/>
  <w15:chartTrackingRefBased/>
  <w15:docId w15:val="{8D13E974-93B4-4FFF-BF6E-D9653B1C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napToGrid w:val="0"/>
    </w:rPr>
  </w:style>
  <w:style w:type="paragraph" w:styleId="BalloonText">
    <w:name w:val="Balloon Text"/>
    <w:basedOn w:val="Normal"/>
    <w:semiHidden/>
    <w:rsid w:val="008A0FC9"/>
    <w:rPr>
      <w:rFonts w:ascii="Tahoma" w:hAnsi="Tahoma" w:cs="Tahoma"/>
      <w:sz w:val="16"/>
      <w:szCs w:val="16"/>
    </w:rPr>
  </w:style>
  <w:style w:type="paragraph" w:customStyle="1" w:styleId="Texto">
    <w:name w:val="Texto"/>
    <w:basedOn w:val="Normal"/>
    <w:rsid w:val="00B00E11"/>
    <w:pPr>
      <w:tabs>
        <w:tab w:val="left" w:pos="397"/>
      </w:tabs>
      <w:spacing w:before="160"/>
      <w:ind w:left="397"/>
      <w:jc w:val="both"/>
    </w:pPr>
    <w:rPr>
      <w:rFonts w:ascii="Univers" w:hAnsi="Univers"/>
      <w:sz w:val="20"/>
      <w:lang w:val="es-ES_tradnl"/>
    </w:rPr>
  </w:style>
  <w:style w:type="paragraph" w:customStyle="1" w:styleId="Default">
    <w:name w:val="Default"/>
    <w:rsid w:val="00C34932"/>
    <w:pPr>
      <w:autoSpaceDE w:val="0"/>
      <w:autoSpaceDN w:val="0"/>
      <w:adjustRightInd w:val="0"/>
    </w:pPr>
    <w:rPr>
      <w:rFonts w:ascii="BHHFN N+ Univers" w:hAnsi="BHHFN N+ Univers" w:cs="BHHFN N+ Univers"/>
      <w:color w:val="000000"/>
      <w:sz w:val="24"/>
      <w:szCs w:val="24"/>
      <w:lang w:eastAsia="es-ES"/>
    </w:rPr>
  </w:style>
  <w:style w:type="paragraph" w:styleId="NormalWeb">
    <w:name w:val="Normal (Web)"/>
    <w:basedOn w:val="Normal"/>
    <w:rsid w:val="00424B5B"/>
    <w:pPr>
      <w:spacing w:before="100" w:beforeAutospacing="1" w:after="100" w:afterAutospacing="1"/>
    </w:pPr>
    <w:rPr>
      <w:rFonts w:ascii="Arial" w:hAnsi="Arial"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0</Pages>
  <Words>0</Words>
  <Characters>0</Characters>
  <Application>Microsoft Office Word</Application>
  <DocSecurity>4</DocSecurity>
  <Lines>0</Lines>
  <Paragraphs>0</Paragraphs>
  <ScaleCrop>false</ScaleCrop>
  <Company>JCCM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 el Subcapítulo de Transporte por carretera encontramos los siguientes conceptos:</dc:title>
  <dc:subject/>
  <dc:creator>Servicio de informática</dc:creator>
  <cp:keywords/>
  <dc:description/>
  <cp:lastModifiedBy>MARIA CRISTINA SANCHEZ FIGUEROA</cp:lastModifiedBy>
  <cp:revision>37</cp:revision>
  <cp:lastPrinted>2004-07-19T19:59:00Z</cp:lastPrinted>
  <dcterms:created xsi:type="dcterms:W3CDTF">2025-08-26T10:25:00Z</dcterms:created>
  <dcterms:modified xsi:type="dcterms:W3CDTF">2025-08-26T11:13:00Z</dcterms:modified>
</cp:coreProperties>
</file>