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adugi" w:cs="Gadugi" w:eastAsia="Gadugi" w:hAnsi="Gadugi"/>
          <w:b w:val="1"/>
          <w:bCs w:val="1"/>
          <w:color w:val="000000"/>
          <w:sz w:val="52"/>
          <w:szCs w:val="52"/>
        </w:rPr>
      </w:pPr>
      <w:r w:rsidDel="00000000" w:rsidR="00000000" w:rsidRPr="00000000">
        <w:rPr>
          <w:rFonts w:ascii="Gadugi" w:cs="Gadugi" w:eastAsia="Gadugi" w:hAnsi="Gadugi"/>
          <w:b w:val="1"/>
          <w:bCs w:val="1"/>
          <w:sz w:val="52"/>
          <w:szCs w:val="52"/>
          <w:rtl w:val="0"/>
        </w:rPr>
        <w:t xml:space="preserve">Caso semestral</w:t>
      </w:r>
      <w:r w:rsidDel="00000000" w:rsidR="00000000" w:rsidRPr="00000000">
        <w:rPr>
          <w:rtl w:val="0"/>
        </w:rPr>
      </w:r>
    </w:p>
    <w:p w:rsidR="00000000" w:rsidDel="00000000" w:rsidP="00000000" w:rsidRDefault="00000000" w:rsidRPr="00000000" w14:paraId="00000002">
      <w:pPr>
        <w:spacing w:after="0" w:before="0" w:line="240" w:lineRule="auto"/>
        <w:ind w:left="0" w:right="0" w:firstLine="0"/>
        <w:jc w:val="left"/>
        <w:rPr>
          <w:rFonts w:ascii="Calibri" w:cs="Calibri" w:eastAsia="Calibri" w:hAnsi="Calibri"/>
          <w:b w:val="1"/>
          <w:bCs w:val="1"/>
          <w:color w:val="000000"/>
          <w:sz w:val="22"/>
          <w:szCs w:val="22"/>
        </w:rPr>
      </w:pPr>
      <w:r w:rsidDel="00000000" w:rsidR="00000000" w:rsidRPr="00000000">
        <w:rPr>
          <w:rFonts w:ascii="Gadugi" w:cs="Gadugi" w:eastAsia="Gadugi" w:hAnsi="Gadugi"/>
          <w:b w:val="1"/>
          <w:bCs w:val="1"/>
          <w:color w:val="000000"/>
          <w:sz w:val="36"/>
          <w:szCs w:val="36"/>
          <w:rtl w:val="0"/>
        </w:rPr>
        <w:t xml:space="preserve">Instrucciones - Caso</w:t>
      </w:r>
      <w:r w:rsidDel="00000000" w:rsidR="00000000" w:rsidRPr="00000000">
        <w:rPr>
          <w:rFonts w:ascii="Calibri" w:cs="Calibri" w:eastAsia="Calibri" w:hAnsi="Calibri"/>
          <w:b w:val="1"/>
          <w:bCs w:val="1"/>
          <w:sz w:val="36"/>
          <w:szCs w:val="36"/>
          <w:rtl w:val="0"/>
        </w:rPr>
        <w:br w:type="textWrapping"/>
      </w:r>
      <w:r w:rsidDel="00000000" w:rsidR="00000000" w:rsidRPr="00000000">
        <w:rPr>
          <w:rtl w:val="0"/>
        </w:rPr>
      </w:r>
    </w:p>
    <w:p w:rsidR="00000000" w:rsidDel="00000000" w:rsidP="00000000" w:rsidRDefault="00000000" w:rsidRPr="00000000" w14:paraId="00000003">
      <w:pPr>
        <w:spacing w:line="259" w:lineRule="auto"/>
        <w:rPr>
          <w:rFonts w:ascii="Calibri" w:cs="Calibri" w:eastAsia="Calibri" w:hAnsi="Calibri"/>
          <w:b w:val="1"/>
          <w:bCs w:val="1"/>
          <w:sz w:val="36"/>
          <w:szCs w:val="36"/>
        </w:rPr>
      </w:pPr>
      <w:r w:rsidDel="00000000" w:rsidR="00000000" w:rsidRPr="00000000">
        <w:rPr>
          <w:rFonts w:ascii="Calibri" w:cs="Calibri" w:eastAsia="Calibri" w:hAnsi="Calibri"/>
          <w:b w:val="1"/>
          <w:bCs w:val="1"/>
          <w:color w:val="000000"/>
          <w:sz w:val="36"/>
          <w:szCs w:val="36"/>
          <w:rtl w:val="0"/>
        </w:rPr>
        <w:t xml:space="preserve">Caso </w:t>
      </w:r>
      <w:r w:rsidDel="00000000" w:rsidR="00000000" w:rsidRPr="00000000">
        <w:rPr>
          <w:rFonts w:ascii="Calibri" w:cs="Calibri" w:eastAsia="Calibri" w:hAnsi="Calibri"/>
          <w:b w:val="1"/>
          <w:bCs w:val="1"/>
          <w:sz w:val="36"/>
          <w:szCs w:val="36"/>
          <w:rtl w:val="0"/>
        </w:rPr>
        <w:t xml:space="preserve">RutaExpress: plataforma para envíos de última milla</w:t>
      </w:r>
    </w:p>
    <w:p w:rsidR="00000000" w:rsidDel="00000000" w:rsidP="00000000" w:rsidRDefault="00000000" w:rsidRPr="00000000" w14:paraId="00000004">
      <w:pPr>
        <w:spacing w:line="259" w:lineRule="auto"/>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05">
      <w:pPr>
        <w:spacing w:line="259"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1. Contexto </w:t>
      </w:r>
      <w:r w:rsidDel="00000000" w:rsidR="00000000" w:rsidRPr="00000000">
        <w:rPr>
          <w:rtl w:val="0"/>
        </w:rPr>
      </w:r>
    </w:p>
    <w:p w:rsidR="00000000" w:rsidDel="00000000" w:rsidP="00000000" w:rsidRDefault="00000000" w:rsidRPr="00000000" w14:paraId="00000006">
      <w:pPr>
        <w:spacing w:after="120" w:line="276" w:lineRule="auto"/>
        <w:rPr>
          <w:rFonts w:ascii="Cambria" w:cs="Cambria" w:eastAsia="Cambria" w:hAnsi="Cambria"/>
          <w:sz w:val="22"/>
          <w:szCs w:val="22"/>
        </w:rPr>
      </w:pPr>
      <w:r w:rsidDel="00000000" w:rsidR="00000000" w:rsidRPr="00000000">
        <w:rPr>
          <w:rFonts w:ascii="Calibri" w:cs="Calibri" w:eastAsia="Calibri" w:hAnsi="Calibri"/>
          <w:color w:val="2d2d2d"/>
          <w:sz w:val="22"/>
          <w:szCs w:val="22"/>
          <w:rtl w:val="0"/>
        </w:rPr>
        <w:t xml:space="preserve">Cada courier opera con planillas y grupos de WhatsApp. No hay seguimiento único para el destinatario ni visibilidad de la capacidad de la flota. Una red de 20 operadores de última milla (couriers PyME) necesita una plataforma unificada para:</w:t>
      </w:r>
      <w:r w:rsidDel="00000000" w:rsidR="00000000" w:rsidRPr="00000000">
        <w:rPr>
          <w:rtl w:val="0"/>
        </w:rPr>
      </w:r>
    </w:p>
    <w:p w:rsidR="00000000" w:rsidDel="00000000" w:rsidP="00000000" w:rsidRDefault="00000000" w:rsidRPr="00000000" w14:paraId="00000007">
      <w:pPr>
        <w:numPr>
          <w:ilvl w:val="0"/>
          <w:numId w:val="2"/>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Crear envíos web, administrar capacidad de vehículos y coordinar el despacho.</w:t>
      </w:r>
      <w:r w:rsidDel="00000000" w:rsidR="00000000" w:rsidRPr="00000000">
        <w:rPr>
          <w:rtl w:val="0"/>
        </w:rPr>
      </w:r>
    </w:p>
    <w:p w:rsidR="00000000" w:rsidDel="00000000" w:rsidP="00000000" w:rsidRDefault="00000000" w:rsidRPr="00000000" w14:paraId="00000008">
      <w:pPr>
        <w:numPr>
          <w:ilvl w:val="0"/>
          <w:numId w:val="2"/>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Notificar al destinatario (email/push) y a bodega (ticket de picking).</w:t>
      </w:r>
      <w:r w:rsidDel="00000000" w:rsidR="00000000" w:rsidRPr="00000000">
        <w:rPr>
          <w:rtl w:val="0"/>
        </w:rPr>
      </w:r>
    </w:p>
    <w:p w:rsidR="00000000" w:rsidDel="00000000" w:rsidP="00000000" w:rsidRDefault="00000000" w:rsidRPr="00000000" w14:paraId="00000009">
      <w:pPr>
        <w:numPr>
          <w:ilvl w:val="0"/>
          <w:numId w:val="2"/>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Generar un panel de operaciones en tiempo real (envíos por hora, lead time, estados activos).</w:t>
      </w:r>
      <w:r w:rsidDel="00000000" w:rsidR="00000000" w:rsidRPr="00000000">
        <w:rPr>
          <w:rtl w:val="0"/>
        </w:rPr>
      </w:r>
    </w:p>
    <w:p w:rsidR="00000000" w:rsidDel="00000000" w:rsidP="00000000" w:rsidRDefault="00000000" w:rsidRPr="00000000" w14:paraId="0000000A">
      <w:pPr>
        <w:numPr>
          <w:ilvl w:val="0"/>
          <w:numId w:val="2"/>
        </w:numPr>
        <w:spacing w:after="40"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Auditar eventos logísticos (quién creó, aceptó, despachó o entregó un envío).</w:t>
      </w:r>
      <w:r w:rsidDel="00000000" w:rsidR="00000000" w:rsidRPr="00000000">
        <w:rPr>
          <w:rtl w:val="0"/>
        </w:rPr>
      </w:r>
    </w:p>
    <w:p w:rsidR="00000000" w:rsidDel="00000000" w:rsidP="00000000" w:rsidRDefault="00000000" w:rsidRPr="00000000" w14:paraId="0000000B">
      <w:pPr>
        <w:spacing w:after="40" w:line="276"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br w:type="textWrapping"/>
        <w:t xml:space="preserve">Lo que la red exige</w:t>
      </w:r>
      <w:r w:rsidDel="00000000" w:rsidR="00000000" w:rsidRPr="00000000">
        <w:rPr>
          <w:rtl w:val="0"/>
        </w:rPr>
      </w:r>
    </w:p>
    <w:p w:rsidR="00000000" w:rsidDel="00000000" w:rsidP="00000000" w:rsidRDefault="00000000" w:rsidRPr="00000000" w14:paraId="0000000C">
      <w:pPr>
        <w:numPr>
          <w:ilvl w:val="0"/>
          <w:numId w:val="1"/>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Login corporativo con Azure AD (IDaaS).</w:t>
      </w:r>
      <w:r w:rsidDel="00000000" w:rsidR="00000000" w:rsidRPr="00000000">
        <w:rPr>
          <w:rtl w:val="0"/>
        </w:rPr>
      </w:r>
    </w:p>
    <w:p w:rsidR="00000000" w:rsidDel="00000000" w:rsidP="00000000" w:rsidRDefault="00000000" w:rsidRPr="00000000" w14:paraId="0000000D">
      <w:pPr>
        <w:numPr>
          <w:ilvl w:val="0"/>
          <w:numId w:val="1"/>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Frontend Angular con MSAL y autorización por rol (Admin, Operador del dominio, Cliente del dominio).</w:t>
      </w:r>
      <w:r w:rsidDel="00000000" w:rsidR="00000000" w:rsidRPr="00000000">
        <w:rPr>
          <w:rtl w:val="0"/>
        </w:rPr>
      </w:r>
    </w:p>
    <w:p w:rsidR="00000000" w:rsidDel="00000000" w:rsidP="00000000" w:rsidRDefault="00000000" w:rsidRPr="00000000" w14:paraId="0000000E">
      <w:pPr>
        <w:numPr>
          <w:ilvl w:val="0"/>
          <w:numId w:val="1"/>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Backend Spring Boot con microservicios detrás de AWS API Gateway, protegido con el JWT de Azure AD.</w:t>
      </w:r>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Despliegue en AWS EC2 con Docker / Docker Compose.</w:t>
      </w:r>
      <w:r w:rsidDel="00000000" w:rsidR="00000000" w:rsidRPr="00000000">
        <w:rPr>
          <w:rtl w:val="0"/>
        </w:rPr>
      </w:r>
    </w:p>
    <w:p w:rsidR="00000000" w:rsidDel="00000000" w:rsidP="00000000" w:rsidRDefault="00000000" w:rsidRPr="00000000" w14:paraId="00000010">
      <w:pPr>
        <w:numPr>
          <w:ilvl w:val="0"/>
          <w:numId w:val="1"/>
        </w:numPr>
        <w:spacing w:after="40" w:line="276" w:lineRule="auto"/>
        <w:ind w:left="720" w:hanging="360"/>
        <w:rPr>
          <w:rFonts w:ascii="Calibri" w:cs="Calibri" w:eastAsia="Calibri" w:hAnsi="Calibri"/>
          <w:color w:val="2d2d2d"/>
          <w:sz w:val="22"/>
          <w:szCs w:val="22"/>
          <w:u w:val="none"/>
        </w:rPr>
      </w:pPr>
      <w:r w:rsidDel="00000000" w:rsidR="00000000" w:rsidRPr="00000000">
        <w:rPr>
          <w:rFonts w:ascii="Calibri" w:cs="Calibri" w:eastAsia="Calibri" w:hAnsi="Calibri"/>
          <w:color w:val="2d2d2d"/>
          <w:sz w:val="22"/>
          <w:szCs w:val="22"/>
          <w:rtl w:val="0"/>
        </w:rPr>
        <w:t xml:space="preserve">Mensajería asíncrona con RabbitMQ (tareas / colas de trabajo) y streaming con Kafka (con Zookeeper) para analítica y auditoría en tiempo real.</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11">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2. Actores y roles</w:t>
      </w:r>
      <w:r w:rsidDel="00000000" w:rsidR="00000000" w:rsidRPr="00000000">
        <w:rPr>
          <w:rtl w:val="0"/>
        </w:rPr>
      </w:r>
    </w:p>
    <w:sdt>
      <w:sdtPr>
        <w:lock w:val="contentLocked"/>
        <w:id w:val="-1742786631"/>
        <w:tag w:val="goog_rdk_0"/>
      </w:sdtPr>
      <w:sdtContent>
        <w:tbl>
          <w:tblPr>
            <w:tblStyle w:val="Table1"/>
            <w:tblW w:w="130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5"/>
            <w:gridCol w:w="7200"/>
            <w:tblGridChange w:id="0">
              <w:tblGrid>
                <w:gridCol w:w="5805"/>
                <w:gridCol w:w="7200"/>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12">
                <w:pPr>
                  <w:spacing w:after="40" w:before="40"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bCs w:val="1"/>
                    <w:color w:val="ffffff"/>
                    <w:rtl w:val="0"/>
                  </w:rPr>
                  <w:t xml:space="preserve">Rol</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13">
                <w:pPr>
                  <w:spacing w:after="40" w:before="40" w:lineRule="auto"/>
                  <w:jc w:val="center"/>
                  <w:rPr>
                    <w:rFonts w:ascii="Calibri" w:cs="Calibri" w:eastAsia="Calibri" w:hAnsi="Calibri"/>
                    <w:color w:val="ffffff"/>
                    <w:sz w:val="22"/>
                    <w:szCs w:val="22"/>
                  </w:rPr>
                </w:pPr>
                <w:r w:rsidDel="00000000" w:rsidR="00000000" w:rsidRPr="00000000">
                  <w:rPr>
                    <w:rFonts w:ascii="Calibri" w:cs="Calibri" w:eastAsia="Calibri" w:hAnsi="Calibri"/>
                    <w:b w:val="1"/>
                    <w:bCs w:val="1"/>
                    <w:color w:val="ffffff"/>
                    <w:rtl w:val="0"/>
                  </w:rPr>
                  <w:t xml:space="preserve">Responsabilidad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1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1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Administra servicios, capacidad y ve KPIs de la red.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1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Despachador (Operador)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1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Acepta envíos, arma ruta y marca entregas.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1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Cliente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1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Crea y sigue sus envíos.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1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1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Consulta el timeline. Solo lectura.</w:t>
                </w:r>
                <w:r w:rsidDel="00000000" w:rsidR="00000000" w:rsidRPr="00000000">
                  <w:rPr>
                    <w:rtl w:val="0"/>
                  </w:rPr>
                </w:r>
              </w:p>
            </w:tc>
          </w:tr>
        </w:tbl>
      </w:sdtContent>
    </w:sdt>
    <w:p w:rsidR="00000000" w:rsidDel="00000000" w:rsidP="00000000" w:rsidRDefault="00000000" w:rsidRPr="00000000" w14:paraId="0000001C">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3. Alcance funcional mínimo</w:t>
      </w:r>
      <w:r w:rsidDel="00000000" w:rsidR="00000000" w:rsidRPr="00000000">
        <w:rPr>
          <w:rtl w:val="0"/>
        </w:rPr>
      </w:r>
    </w:p>
    <w:sdt>
      <w:sdtPr>
        <w:lock w:val="contentLocked"/>
        <w:id w:val="-1589868329"/>
        <w:tag w:val="goog_rdk_1"/>
      </w:sdtPr>
      <w:sdtContent>
        <w:tbl>
          <w:tblPr>
            <w:tblStyle w:val="Table2"/>
            <w:tblW w:w="1303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5400"/>
            <w:gridCol w:w="2070"/>
            <w:gridCol w:w="3405"/>
            <w:tblGridChange w:id="0">
              <w:tblGrid>
                <w:gridCol w:w="2160"/>
                <w:gridCol w:w="5400"/>
                <w:gridCol w:w="2070"/>
                <w:gridCol w:w="3405"/>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1D">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Módulo</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1E">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Descripción</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1F">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Actores</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20">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Reglas clave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Gestión de envíos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CRUD de envíos y cambio de estado (CREADO → ACEPTADO → EN_BODEGA → EN_RUTA → ENTREGADO / CANCELADO)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Cliente, Despachador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No se puede pasar a EN_RUTA sin ACEPTAR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Catálogo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CRUD de servicios de envío y capacidad disponible de flota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La capacidad disminuye al aceptar el envío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Notificaciones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Email/push al destinatario y ticket de picking a bodega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Despachador, Cliente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2C">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Envío asíncrono (cola)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D">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Reportería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Panel de KPIs: envíos por hora, lead time*, estados activos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2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3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Datos por streaming (Kafka) sin bloquear el core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3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Auditoría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3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Timeline de eventos del envío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3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3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Solo lectura</w:t>
                </w:r>
                <w:r w:rsidDel="00000000" w:rsidR="00000000" w:rsidRPr="00000000">
                  <w:rPr>
                    <w:rtl w:val="0"/>
                  </w:rPr>
                </w:r>
              </w:p>
            </w:tc>
          </w:tr>
        </w:tbl>
      </w:sdtContent>
    </w:sdt>
    <w:p w:rsidR="00000000" w:rsidDel="00000000" w:rsidP="00000000" w:rsidRDefault="00000000" w:rsidRPr="00000000" w14:paraId="00000035">
      <w:pPr>
        <w:spacing w:after="120" w:before="280" w:line="276"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4. Seguridad e identidad (IDaaS Azure + API Gateway)</w:t>
      </w:r>
    </w:p>
    <w:p w:rsidR="00000000" w:rsidDel="00000000" w:rsidP="00000000" w:rsidRDefault="00000000" w:rsidRPr="00000000" w14:paraId="00000036">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App Registration “RutaExpress”: clientId, redirectUri, authority = https://login.microsoftonline.com/&lt;TENANT_ID&gt;/</w:t>
      </w:r>
      <w:r w:rsidDel="00000000" w:rsidR="00000000" w:rsidRPr="00000000">
        <w:rPr>
          <w:rtl w:val="0"/>
        </w:rPr>
      </w:r>
    </w:p>
    <w:p w:rsidR="00000000" w:rsidDel="00000000" w:rsidP="00000000" w:rsidRDefault="00000000" w:rsidRPr="00000000" w14:paraId="00000037">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MSAL Angular: proteger rutas y adjuntar Bearer &lt;access_token&gt; a cada request.</w:t>
      </w:r>
      <w:r w:rsidDel="00000000" w:rsidR="00000000" w:rsidRPr="00000000">
        <w:rPr>
          <w:rtl w:val="0"/>
        </w:rPr>
      </w:r>
    </w:p>
    <w:p w:rsidR="00000000" w:rsidDel="00000000" w:rsidP="00000000" w:rsidRDefault="00000000" w:rsidRPr="00000000" w14:paraId="00000038">
      <w:pPr>
        <w:numPr>
          <w:ilvl w:val="0"/>
          <w:numId w:val="3"/>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AWS API Gateway (HTTP API) con JWT Authorizer: issuer https://login.microsoftonline.com/&lt;TENANT_ID&gt;/v2.0 y audiences api://&lt;API_CLIENT_ID&gt;.</w:t>
      </w:r>
      <w:r w:rsidDel="00000000" w:rsidR="00000000" w:rsidRPr="00000000">
        <w:rPr>
          <w:rtl w:val="0"/>
        </w:rPr>
      </w:r>
    </w:p>
    <w:p w:rsidR="00000000" w:rsidDel="00000000" w:rsidP="00000000" w:rsidRDefault="00000000" w:rsidRPr="00000000" w14:paraId="00000039">
      <w:pPr>
        <w:numPr>
          <w:ilvl w:val="0"/>
          <w:numId w:val="3"/>
        </w:numPr>
        <w:spacing w:after="4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Spring Security: validar el JWT con security.oauth2.resourceserver.jwt.issuer-uri y comprobar que el rol puede usar el endpoint llamado.</w:t>
      </w:r>
    </w:p>
    <w:p w:rsidR="00000000" w:rsidDel="00000000" w:rsidP="00000000" w:rsidRDefault="00000000" w:rsidRPr="00000000" w14:paraId="0000003A">
      <w:pPr>
        <w:spacing w:after="40" w:line="276" w:lineRule="auto"/>
        <w:ind w:left="0" w:firstLine="0"/>
        <w:rPr>
          <w:rFonts w:ascii="Calibri" w:cs="Calibri" w:eastAsia="Calibri" w:hAnsi="Calibri"/>
          <w:color w:val="2d2d2d"/>
          <w:sz w:val="22"/>
          <w:szCs w:val="22"/>
        </w:rPr>
      </w:pPr>
      <w:r w:rsidDel="00000000" w:rsidR="00000000" w:rsidRPr="00000000">
        <w:rPr>
          <w:rtl w:val="0"/>
        </w:rPr>
      </w:r>
    </w:p>
    <w:p w:rsidR="00000000" w:rsidDel="00000000" w:rsidP="00000000" w:rsidRDefault="00000000" w:rsidRPr="00000000" w14:paraId="0000003B">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5. Microservicios de dominio</w:t>
      </w:r>
      <w:r w:rsidDel="00000000" w:rsidR="00000000" w:rsidRPr="00000000">
        <w:rPr>
          <w:rtl w:val="0"/>
        </w:rPr>
      </w:r>
    </w:p>
    <w:sdt>
      <w:sdtPr>
        <w:lock w:val="contentLocked"/>
        <w:id w:val="-903204837"/>
        <w:tag w:val="goog_rdk_2"/>
      </w:sdtPr>
      <w:sdtContent>
        <w:tbl>
          <w:tblPr>
            <w:tblStyle w:val="Table3"/>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0"/>
            <w:gridCol w:w="1995"/>
            <w:gridCol w:w="1110"/>
            <w:gridCol w:w="3765"/>
            <w:gridCol w:w="3525"/>
            <w:tblGridChange w:id="0">
              <w:tblGrid>
                <w:gridCol w:w="2640"/>
                <w:gridCol w:w="1995"/>
                <w:gridCol w:w="1110"/>
                <w:gridCol w:w="3765"/>
                <w:gridCol w:w="3525"/>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3C">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Servicio</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3D">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Dominio</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3E">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DB</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3F">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Responsabilidad</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40">
                <w:pPr>
                  <w:spacing w:after="40" w:before="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Exposición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ms-rutaexpress-shipments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Envíos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Oracle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CRUD envíos, estados, coordinación de capacidad y notificación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/api/shipments/*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4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ms-rutaexpress-catalog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4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Servicios / flota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4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Oracle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4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CRUD servicios, capacidad y tarifas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4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/api/catalog/*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ms-rutaexpress-notify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C">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Notificaciones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D">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sin DB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Procesa envío email/webpush y ticket de bodega vía RabbitMQ</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4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no público (consumidor RabbitMQ)</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5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ms-rutaexpress-audit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5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Auditoría / timeline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5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Oracle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5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Consume Kafka y persiste eventos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5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/api/audit/* (read-only)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5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ms-rutaexpress-report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5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KPIs / analytics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5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Oracle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5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Agregaciones y endpoints de lectura (consume Kafka)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5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/api/report/* (read-only)</w:t>
                </w:r>
                <w:r w:rsidDel="00000000" w:rsidR="00000000" w:rsidRPr="00000000">
                  <w:rPr>
                    <w:rtl w:val="0"/>
                  </w:rPr>
                </w:r>
              </w:p>
            </w:tc>
          </w:tr>
        </w:tbl>
      </w:sdtContent>
    </w:sdt>
    <w:p w:rsidR="00000000" w:rsidDel="00000000" w:rsidP="00000000" w:rsidRDefault="00000000" w:rsidRPr="00000000" w14:paraId="0000005A">
      <w:pPr>
        <w:spacing w:after="12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B">
      <w:pPr>
        <w:spacing w:after="120" w:line="276" w:lineRule="auto"/>
        <w:rPr>
          <w:rFonts w:ascii="Calibri" w:cs="Calibri" w:eastAsia="Calibri" w:hAnsi="Calibri"/>
          <w:color w:val="2d2d2d"/>
          <w:sz w:val="22"/>
          <w:szCs w:val="22"/>
        </w:rPr>
      </w:pPr>
      <w:r w:rsidDel="00000000" w:rsidR="00000000" w:rsidRPr="00000000">
        <w:rPr>
          <w:rFonts w:ascii="Calibri" w:cs="Calibri" w:eastAsia="Calibri" w:hAnsi="Calibri"/>
          <w:color w:val="2d2d2d"/>
          <w:sz w:val="22"/>
          <w:szCs w:val="22"/>
          <w:rtl w:val="0"/>
        </w:rPr>
        <w:t xml:space="preserve">Debes incluir además ms-rutaexpress-bff (Spring Boot + Spring Security) como BFF detrás del API Gateway, más un microservicio administrador de RabbitMQ y otro de Kafka, según la pauta de cada evaluación.</w:t>
      </w:r>
    </w:p>
    <w:p w:rsidR="00000000" w:rsidDel="00000000" w:rsidP="00000000" w:rsidRDefault="00000000" w:rsidRPr="00000000" w14:paraId="0000005C">
      <w:pPr>
        <w:spacing w:after="80" w:before="200" w:line="276" w:lineRule="auto"/>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Endpoints esenciales (ejemplos)</w:t>
      </w:r>
      <w:r w:rsidDel="00000000" w:rsidR="00000000" w:rsidRPr="00000000">
        <w:rPr>
          <w:rtl w:val="0"/>
        </w:rPr>
      </w:r>
    </w:p>
    <w:p w:rsidR="00000000" w:rsidDel="00000000" w:rsidP="00000000" w:rsidRDefault="00000000" w:rsidRPr="00000000" w14:paraId="0000005D">
      <w:pPr>
        <w:spacing w:after="60" w:before="16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b3a4b"/>
          <w:sz w:val="24"/>
          <w:szCs w:val="24"/>
          <w:rtl w:val="0"/>
        </w:rPr>
        <w:t xml:space="preserve">ms-rutaexpress-shipments</w:t>
      </w:r>
      <w:r w:rsidDel="00000000" w:rsidR="00000000" w:rsidRPr="00000000">
        <w:rPr>
          <w:rtl w:val="0"/>
        </w:rPr>
      </w:r>
    </w:p>
    <w:p w:rsidR="00000000" w:rsidDel="00000000" w:rsidP="00000000" w:rsidRDefault="00000000" w:rsidRPr="00000000" w14:paraId="0000005E">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POST /api/shipments (crear envío)</w:t>
      </w:r>
      <w:r w:rsidDel="00000000" w:rsidR="00000000" w:rsidRPr="00000000">
        <w:rPr>
          <w:rtl w:val="0"/>
        </w:rPr>
      </w:r>
    </w:p>
    <w:p w:rsidR="00000000" w:rsidDel="00000000" w:rsidP="00000000" w:rsidRDefault="00000000" w:rsidRPr="00000000" w14:paraId="0000005F">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GET /api/shipments/{id}</w:t>
      </w:r>
      <w:r w:rsidDel="00000000" w:rsidR="00000000" w:rsidRPr="00000000">
        <w:rPr>
          <w:rtl w:val="0"/>
        </w:rPr>
      </w:r>
    </w:p>
    <w:p w:rsidR="00000000" w:rsidDel="00000000" w:rsidP="00000000" w:rsidRDefault="00000000" w:rsidRPr="00000000" w14:paraId="00000060">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PUT /api/shipments/{id}/status  body: { "status": "CREADO|ACEPTADO|EN_BODEGA|EN_RUTA|ENTREGADO|CANCELADO" }</w:t>
      </w:r>
      <w:r w:rsidDel="00000000" w:rsidR="00000000" w:rsidRPr="00000000">
        <w:rPr>
          <w:rtl w:val="0"/>
        </w:rPr>
      </w:r>
    </w:p>
    <w:p w:rsidR="00000000" w:rsidDel="00000000" w:rsidP="00000000" w:rsidRDefault="00000000" w:rsidRPr="00000000" w14:paraId="00000061">
      <w:pPr>
        <w:numPr>
          <w:ilvl w:val="0"/>
          <w:numId w:val="3"/>
        </w:numPr>
        <w:spacing w:after="4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GET /api/shipments?status=...&amp;from=...&amp;to=...</w:t>
      </w:r>
      <w:r w:rsidDel="00000000" w:rsidR="00000000" w:rsidRPr="00000000">
        <w:rPr>
          <w:rtl w:val="0"/>
        </w:rPr>
      </w:r>
    </w:p>
    <w:p w:rsidR="00000000" w:rsidDel="00000000" w:rsidP="00000000" w:rsidRDefault="00000000" w:rsidRPr="00000000" w14:paraId="00000062">
      <w:pPr>
        <w:spacing w:after="60" w:before="16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b3a4b"/>
          <w:sz w:val="24"/>
          <w:szCs w:val="24"/>
          <w:rtl w:val="0"/>
        </w:rPr>
        <w:t xml:space="preserve">ms-rutaexpress-catalog</w:t>
      </w:r>
      <w:r w:rsidDel="00000000" w:rsidR="00000000" w:rsidRPr="00000000">
        <w:rPr>
          <w:rtl w:val="0"/>
        </w:rPr>
      </w:r>
    </w:p>
    <w:p w:rsidR="00000000" w:rsidDel="00000000" w:rsidP="00000000" w:rsidRDefault="00000000" w:rsidRPr="00000000" w14:paraId="00000063">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GET /api/catalog/services</w:t>
      </w:r>
      <w:r w:rsidDel="00000000" w:rsidR="00000000" w:rsidRPr="00000000">
        <w:rPr>
          <w:rtl w:val="0"/>
        </w:rPr>
      </w:r>
    </w:p>
    <w:p w:rsidR="00000000" w:rsidDel="00000000" w:rsidP="00000000" w:rsidRDefault="00000000" w:rsidRPr="00000000" w14:paraId="00000064">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POST /api/catalog/services</w:t>
      </w:r>
      <w:r w:rsidDel="00000000" w:rsidR="00000000" w:rsidRPr="00000000">
        <w:rPr>
          <w:rtl w:val="0"/>
        </w:rPr>
      </w:r>
    </w:p>
    <w:p w:rsidR="00000000" w:rsidDel="00000000" w:rsidP="00000000" w:rsidRDefault="00000000" w:rsidRPr="00000000" w14:paraId="00000065">
      <w:pPr>
        <w:numPr>
          <w:ilvl w:val="0"/>
          <w:numId w:val="3"/>
        </w:numPr>
        <w:spacing w:after="4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PUT /api/catalog/services/{id} (tarifa/capacidad)</w:t>
      </w:r>
      <w:r w:rsidDel="00000000" w:rsidR="00000000" w:rsidRPr="00000000">
        <w:rPr>
          <w:rtl w:val="0"/>
        </w:rPr>
      </w:r>
    </w:p>
    <w:p w:rsidR="00000000" w:rsidDel="00000000" w:rsidP="00000000" w:rsidRDefault="00000000" w:rsidRPr="00000000" w14:paraId="00000066">
      <w:pPr>
        <w:spacing w:after="60" w:before="160" w:line="276" w:lineRule="auto"/>
        <w:rPr>
          <w:rFonts w:ascii="Cambria" w:cs="Cambria" w:eastAsia="Cambria" w:hAnsi="Cambria"/>
          <w:sz w:val="22"/>
          <w:szCs w:val="22"/>
        </w:rPr>
      </w:pPr>
      <w:r w:rsidDel="00000000" w:rsidR="00000000" w:rsidRPr="00000000">
        <w:rPr>
          <w:rFonts w:ascii="Calibri" w:cs="Calibri" w:eastAsia="Calibri" w:hAnsi="Calibri"/>
          <w:b w:val="1"/>
          <w:bCs w:val="1"/>
          <w:color w:val="1b3a4b"/>
          <w:sz w:val="24"/>
          <w:szCs w:val="24"/>
          <w:rtl w:val="0"/>
        </w:rPr>
        <w:t xml:space="preserve">ms-rutaexpress-report</w:t>
      </w:r>
      <w:r w:rsidDel="00000000" w:rsidR="00000000" w:rsidRPr="00000000">
        <w:rPr>
          <w:rtl w:val="0"/>
        </w:rPr>
      </w:r>
    </w:p>
    <w:p w:rsidR="00000000" w:rsidDel="00000000" w:rsidP="00000000" w:rsidRDefault="00000000" w:rsidRPr="00000000" w14:paraId="00000067">
      <w:pPr>
        <w:numPr>
          <w:ilvl w:val="0"/>
          <w:numId w:val="3"/>
        </w:numPr>
        <w:spacing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GET /api/report/kpis?range=last24h</w:t>
      </w:r>
      <w:r w:rsidDel="00000000" w:rsidR="00000000" w:rsidRPr="00000000">
        <w:rPr>
          <w:rtl w:val="0"/>
        </w:rPr>
      </w:r>
    </w:p>
    <w:p w:rsidR="00000000" w:rsidDel="00000000" w:rsidP="00000000" w:rsidRDefault="00000000" w:rsidRPr="00000000" w14:paraId="00000068">
      <w:pPr>
        <w:numPr>
          <w:ilvl w:val="0"/>
          <w:numId w:val="3"/>
        </w:numPr>
        <w:spacing w:after="40" w:line="276" w:lineRule="auto"/>
        <w:ind w:left="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GET /api/report/top-services?range=last7d</w:t>
      </w:r>
      <w:r w:rsidDel="00000000" w:rsidR="00000000" w:rsidRPr="00000000">
        <w:rPr>
          <w:rtl w:val="0"/>
        </w:rPr>
      </w:r>
    </w:p>
    <w:p w:rsidR="00000000" w:rsidDel="00000000" w:rsidP="00000000" w:rsidRDefault="00000000" w:rsidRPr="00000000" w14:paraId="00000069">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6. Pantallas propuestas</w:t>
      </w:r>
      <w:r w:rsidDel="00000000" w:rsidR="00000000" w:rsidRPr="00000000">
        <w:rPr>
          <w:rtl w:val="0"/>
        </w:rPr>
      </w:r>
    </w:p>
    <w:sdt>
      <w:sdtPr>
        <w:lock w:val="contentLocked"/>
        <w:id w:val="-1343135688"/>
        <w:tag w:val="goog_rdk_3"/>
      </w:sdtPr>
      <w:sdtContent>
        <w:tbl>
          <w:tblPr>
            <w:tblStyle w:val="Table4"/>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1815"/>
            <w:gridCol w:w="2970"/>
            <w:gridCol w:w="5700"/>
            <w:tblGridChange w:id="0">
              <w:tblGrid>
                <w:gridCol w:w="2550"/>
                <w:gridCol w:w="1815"/>
                <w:gridCol w:w="2970"/>
                <w:gridCol w:w="5700"/>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6A">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Pantalla</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6B">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Ruta</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6C">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Roles</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6D">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Función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6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Login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6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/login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público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MSAL. Botón «Iniciar sesión con Microsoft».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Dashboard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/dashboard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todos los autenticados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 KPIs de la red. Despachador: envíos en bodega y en ruta. Cliente: últimos envíos y estado.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Envíos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/shipments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 Despachador, Cliente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Listar, crear (cliente o despachador) y cambiar estado (despachador/admin).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Catálogo de servicios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/catalog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C">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 Despachador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7D">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Tipos de envío, tarifas y capacidad.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Reportería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7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/reports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8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8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Envíos por hora, lead time, servicios más usados.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8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Auditoría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8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8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Admin, Auditor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8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Trazabilidad del envío. Filtros: usuario, fechas, tipo de evento.</w:t>
                </w:r>
                <w:r w:rsidDel="00000000" w:rsidR="00000000" w:rsidRPr="00000000">
                  <w:rPr>
                    <w:rtl w:val="0"/>
                  </w:rPr>
                </w:r>
              </w:p>
            </w:tc>
          </w:tr>
        </w:tbl>
      </w:sdtContent>
    </w:sdt>
    <w:p w:rsidR="00000000" w:rsidDel="00000000" w:rsidP="00000000" w:rsidRDefault="00000000" w:rsidRPr="00000000" w14:paraId="00000086">
      <w:pPr>
        <w:spacing w:after="120" w:line="276" w:lineRule="auto"/>
        <w:rPr>
          <w:rFonts w:ascii="Calibri" w:cs="Calibri" w:eastAsia="Calibri" w:hAnsi="Calibri"/>
          <w:sz w:val="22"/>
          <w:szCs w:val="22"/>
        </w:rPr>
      </w:pPr>
      <w:r w:rsidDel="00000000" w:rsidR="00000000" w:rsidRPr="00000000">
        <w:rPr>
          <w:rFonts w:ascii="Calibri" w:cs="Calibri" w:eastAsia="Calibri" w:hAnsi="Calibri"/>
          <w:color w:val="2d2d2d"/>
          <w:sz w:val="22"/>
          <w:szCs w:val="22"/>
          <w:rtl w:val="0"/>
        </w:rPr>
        <w:br w:type="textWrapping"/>
        <w:t xml:space="preserve">El flujo de llamadas seguras es siempre: JWT → API Gateway → ms-campuslab-bff → microservicio de dominio.</w:t>
      </w:r>
      <w:r w:rsidDel="00000000" w:rsidR="00000000" w:rsidRPr="00000000">
        <w:rPr>
          <w:rtl w:val="0"/>
        </w:rPr>
      </w:r>
    </w:p>
    <w:p w:rsidR="00000000" w:rsidDel="00000000" w:rsidP="00000000" w:rsidRDefault="00000000" w:rsidRPr="00000000" w14:paraId="00000087">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7. Despliegue (EC2 + Docker Compose)</w:t>
      </w:r>
      <w:r w:rsidDel="00000000" w:rsidR="00000000" w:rsidRPr="00000000">
        <w:rPr>
          <w:rtl w:val="0"/>
        </w:rPr>
      </w:r>
    </w:p>
    <w:p w:rsidR="00000000" w:rsidDel="00000000" w:rsidP="00000000" w:rsidRDefault="00000000" w:rsidRPr="00000000" w14:paraId="00000088">
      <w:pPr>
        <w:numPr>
          <w:ilvl w:val="0"/>
          <w:numId w:val="5"/>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ec2-apps: shipments-svc, catalog-svc, notify-svc, report-svc, audit-svc</w:t>
      </w:r>
      <w:r w:rsidDel="00000000" w:rsidR="00000000" w:rsidRPr="00000000">
        <w:rPr>
          <w:rtl w:val="0"/>
        </w:rPr>
      </w:r>
    </w:p>
    <w:p w:rsidR="00000000" w:rsidDel="00000000" w:rsidP="00000000" w:rsidRDefault="00000000" w:rsidRPr="00000000" w14:paraId="00000089">
      <w:pPr>
        <w:numPr>
          <w:ilvl w:val="0"/>
          <w:numId w:val="5"/>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ec2-mq: RabbitMQ (clúster de 2 nodos para las evaluaciones) con Management UI.</w:t>
      </w:r>
      <w:r w:rsidDel="00000000" w:rsidR="00000000" w:rsidRPr="00000000">
        <w:rPr>
          <w:rtl w:val="0"/>
        </w:rPr>
      </w:r>
    </w:p>
    <w:p w:rsidR="00000000" w:rsidDel="00000000" w:rsidP="00000000" w:rsidRDefault="00000000" w:rsidRPr="00000000" w14:paraId="0000008A">
      <w:pPr>
        <w:numPr>
          <w:ilvl w:val="0"/>
          <w:numId w:val="5"/>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ec2-kafka: Zookeeper (3 nodos) + Kafka (3 brokers) + Kafka UI.</w:t>
      </w:r>
      <w:r w:rsidDel="00000000" w:rsidR="00000000" w:rsidRPr="00000000">
        <w:rPr>
          <w:rtl w:val="0"/>
        </w:rPr>
      </w:r>
    </w:p>
    <w:p w:rsidR="00000000" w:rsidDel="00000000" w:rsidP="00000000" w:rsidRDefault="00000000" w:rsidRPr="00000000" w14:paraId="0000008B">
      <w:pPr>
        <w:numPr>
          <w:ilvl w:val="0"/>
          <w:numId w:val="5"/>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Un compose.yml para apps, otro para mq y otro para kafka.</w:t>
      </w:r>
      <w:r w:rsidDel="00000000" w:rsidR="00000000" w:rsidRPr="00000000">
        <w:rPr>
          <w:rtl w:val="0"/>
        </w:rPr>
      </w:r>
    </w:p>
    <w:p w:rsidR="00000000" w:rsidDel="00000000" w:rsidP="00000000" w:rsidRDefault="00000000" w:rsidRPr="00000000" w14:paraId="0000008C">
      <w:pPr>
        <w:numPr>
          <w:ilvl w:val="0"/>
          <w:numId w:val="5"/>
        </w:numPr>
        <w:spacing w:after="4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Security Groups: abrir solo los puertos necesarios (AMQP/5672, Kafka/9092, HTTP APIs internas).</w:t>
      </w:r>
    </w:p>
    <w:p w:rsidR="00000000" w:rsidDel="00000000" w:rsidP="00000000" w:rsidRDefault="00000000" w:rsidRPr="00000000" w14:paraId="0000008D">
      <w:pPr>
        <w:spacing w:after="80" w:before="200" w:line="276" w:lineRule="auto"/>
        <w:rPr>
          <w:rFonts w:ascii="Calibri" w:cs="Calibri" w:eastAsia="Calibri" w:hAnsi="Calibri"/>
          <w:sz w:val="22"/>
          <w:szCs w:val="22"/>
        </w:rPr>
      </w:pPr>
      <w:r w:rsidDel="00000000" w:rsidR="00000000" w:rsidRPr="00000000">
        <w:rPr>
          <w:rFonts w:ascii="Calibri" w:cs="Calibri" w:eastAsia="Calibri" w:hAnsi="Calibri"/>
          <w:b w:val="1"/>
          <w:bCs w:val="1"/>
          <w:sz w:val="26"/>
          <w:szCs w:val="26"/>
          <w:rtl w:val="0"/>
        </w:rPr>
        <w:t xml:space="preserve">Sugerencia de repositorios GitHub</w:t>
      </w:r>
      <w:r w:rsidDel="00000000" w:rsidR="00000000" w:rsidRPr="00000000">
        <w:rPr>
          <w:rtl w:val="0"/>
        </w:rPr>
      </w:r>
    </w:p>
    <w:p w:rsidR="00000000" w:rsidDel="00000000" w:rsidP="00000000" w:rsidRDefault="00000000" w:rsidRPr="00000000" w14:paraId="0000008E">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/frontend-rutaexpress (Angular + MSAL)</w:t>
      </w:r>
      <w:r w:rsidDel="00000000" w:rsidR="00000000" w:rsidRPr="00000000">
        <w:rPr>
          <w:rtl w:val="0"/>
        </w:rPr>
      </w:r>
    </w:p>
    <w:p w:rsidR="00000000" w:rsidDel="00000000" w:rsidP="00000000" w:rsidRDefault="00000000" w:rsidRPr="00000000" w14:paraId="0000008F">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/ms-rutaexpress-bff (Spring Boot, Spring Security)</w:t>
      </w:r>
      <w:r w:rsidDel="00000000" w:rsidR="00000000" w:rsidRPr="00000000">
        <w:rPr>
          <w:rtl w:val="0"/>
        </w:rPr>
      </w:r>
    </w:p>
    <w:p w:rsidR="00000000" w:rsidDel="00000000" w:rsidP="00000000" w:rsidRDefault="00000000" w:rsidRPr="00000000" w14:paraId="00000090">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/ms-rutaexpress-shipments (Spring Boot)</w:t>
      </w:r>
      <w:r w:rsidDel="00000000" w:rsidR="00000000" w:rsidRPr="00000000">
        <w:rPr>
          <w:rtl w:val="0"/>
        </w:rPr>
      </w:r>
    </w:p>
    <w:p w:rsidR="00000000" w:rsidDel="00000000" w:rsidP="00000000" w:rsidRDefault="00000000" w:rsidRPr="00000000" w14:paraId="00000091">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/ms-rutaexpress-catalog (Spring Boot)</w:t>
      </w:r>
      <w:r w:rsidDel="00000000" w:rsidR="00000000" w:rsidRPr="00000000">
        <w:rPr>
          <w:rtl w:val="0"/>
        </w:rPr>
      </w:r>
    </w:p>
    <w:p w:rsidR="00000000" w:rsidDel="00000000" w:rsidP="00000000" w:rsidRDefault="00000000" w:rsidRPr="00000000" w14:paraId="00000092">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/ms-rutaexpress-notify (Spring Boot, consumer RabbitMQ)</w:t>
      </w:r>
      <w:r w:rsidDel="00000000" w:rsidR="00000000" w:rsidRPr="00000000">
        <w:rPr>
          <w:rtl w:val="0"/>
        </w:rPr>
      </w:r>
    </w:p>
    <w:p w:rsidR="00000000" w:rsidDel="00000000" w:rsidP="00000000" w:rsidRDefault="00000000" w:rsidRPr="00000000" w14:paraId="00000093">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/ms-rutaexpress-report (Spring Boot, consumer Kafka)</w:t>
      </w:r>
      <w:r w:rsidDel="00000000" w:rsidR="00000000" w:rsidRPr="00000000">
        <w:rPr>
          <w:rtl w:val="0"/>
        </w:rPr>
      </w:r>
    </w:p>
    <w:p w:rsidR="00000000" w:rsidDel="00000000" w:rsidP="00000000" w:rsidRDefault="00000000" w:rsidRPr="00000000" w14:paraId="00000094">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/ms-rutaexpress-audit (Spring Boot, consumer Kafka)</w:t>
      </w:r>
      <w:r w:rsidDel="00000000" w:rsidR="00000000" w:rsidRPr="00000000">
        <w:rPr>
          <w:rtl w:val="0"/>
        </w:rPr>
      </w:r>
    </w:p>
    <w:p w:rsidR="00000000" w:rsidDel="00000000" w:rsidP="00000000" w:rsidRDefault="00000000" w:rsidRPr="00000000" w14:paraId="00000095">
      <w:pPr>
        <w:numPr>
          <w:ilvl w:val="0"/>
          <w:numId w:val="4"/>
        </w:numPr>
        <w:spacing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/infra  →  /apps/compose.yml  ·  /mq/compose.yml  ·  /kafka/compose.yml</w:t>
      </w:r>
      <w:r w:rsidDel="00000000" w:rsidR="00000000" w:rsidRPr="00000000">
        <w:rPr>
          <w:rtl w:val="0"/>
        </w:rPr>
      </w:r>
    </w:p>
    <w:p w:rsidR="00000000" w:rsidDel="00000000" w:rsidP="00000000" w:rsidRDefault="00000000" w:rsidRPr="00000000" w14:paraId="00000096">
      <w:pPr>
        <w:numPr>
          <w:ilvl w:val="0"/>
          <w:numId w:val="4"/>
        </w:numPr>
        <w:spacing w:after="40" w:line="276" w:lineRule="auto"/>
        <w:ind w:left="720" w:hanging="360"/>
        <w:rPr>
          <w:rFonts w:ascii="Noto Sans Symbols" w:cs="Noto Sans Symbols" w:eastAsia="Noto Sans Symbols" w:hAnsi="Noto Sans Symbols"/>
          <w:sz w:val="22"/>
          <w:szCs w:val="22"/>
        </w:rPr>
      </w:pPr>
      <w:r w:rsidDel="00000000" w:rsidR="00000000" w:rsidRPr="00000000">
        <w:rPr>
          <w:rFonts w:ascii="Calibri" w:cs="Calibri" w:eastAsia="Calibri" w:hAnsi="Calibri"/>
          <w:color w:val="2d2d2d"/>
          <w:sz w:val="22"/>
          <w:szCs w:val="22"/>
          <w:rtl w:val="0"/>
        </w:rPr>
        <w:t xml:space="preserve">/docs/</w:t>
      </w:r>
    </w:p>
    <w:p w:rsidR="00000000" w:rsidDel="00000000" w:rsidP="00000000" w:rsidRDefault="00000000" w:rsidRPr="00000000" w14:paraId="00000097">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8. Topología RabbitMQ (6 colas: 3 flujos + 3 DLQ)</w:t>
      </w:r>
      <w:r w:rsidDel="00000000" w:rsidR="00000000" w:rsidRPr="00000000">
        <w:rPr>
          <w:rtl w:val="0"/>
        </w:rPr>
      </w:r>
    </w:p>
    <w:sdt>
      <w:sdtPr>
        <w:lock w:val="contentLocked"/>
        <w:id w:val="1673864676"/>
        <w:tag w:val="goog_rdk_4"/>
      </w:sdtPr>
      <w:sdtContent>
        <w:tbl>
          <w:tblPr>
            <w:tblStyle w:val="Table5"/>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0"/>
            <w:gridCol w:w="4440"/>
            <w:gridCol w:w="2310"/>
            <w:gridCol w:w="2280"/>
            <w:gridCol w:w="1965"/>
            <w:tblGridChange w:id="0">
              <w:tblGrid>
                <w:gridCol w:w="2040"/>
                <w:gridCol w:w="4440"/>
                <w:gridCol w:w="2310"/>
                <w:gridCol w:w="2280"/>
                <w:gridCol w:w="1965"/>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98">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Cola principal</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99">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Propósito</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9A">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DLQ</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9B">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Binding direct</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9C">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Binding topic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9D">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q.cmd.email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9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Email/push al destinatario (aceptado, en ruta, entregado)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9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q.cmd.email.dlq</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email.send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email.*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A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q.cmd.warehouse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A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Ticket de picking / etiqueta de bodega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A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q.cmd.warehouse.dlq</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A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warehouse.ticket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A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warehouse.#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q.cmd.label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Generación de PDF (guía de despacho o etiqueta)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q.cmd.label.dlq</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label.gen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A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label.*</w:t>
                </w:r>
                <w:r w:rsidDel="00000000" w:rsidR="00000000" w:rsidRPr="00000000">
                  <w:rPr>
                    <w:rtl w:val="0"/>
                  </w:rPr>
                </w:r>
              </w:p>
            </w:tc>
          </w:tr>
        </w:tbl>
      </w:sdtContent>
    </w:sdt>
    <w:p w:rsidR="00000000" w:rsidDel="00000000" w:rsidP="00000000" w:rsidRDefault="00000000" w:rsidRPr="00000000" w14:paraId="000000AC">
      <w:pPr>
        <w:spacing w:after="120" w:line="276" w:lineRule="auto"/>
        <w:rPr>
          <w:rFonts w:ascii="Calibri" w:cs="Calibri" w:eastAsia="Calibri" w:hAnsi="Calibri"/>
          <w:color w:val="2d2d2d"/>
          <w:sz w:val="22"/>
          <w:szCs w:val="22"/>
        </w:rPr>
      </w:pPr>
      <w:r w:rsidDel="00000000" w:rsidR="00000000" w:rsidRPr="00000000">
        <w:rPr>
          <w:rFonts w:ascii="Calibri" w:cs="Calibri" w:eastAsia="Calibri" w:hAnsi="Calibri"/>
          <w:sz w:val="22"/>
          <w:szCs w:val="22"/>
          <w:rtl w:val="0"/>
        </w:rPr>
        <w:br w:type="textWrapping"/>
      </w:r>
      <w:r w:rsidDel="00000000" w:rsidR="00000000" w:rsidRPr="00000000">
        <w:rPr>
          <w:rFonts w:ascii="Calibri" w:cs="Calibri" w:eastAsia="Calibri" w:hAnsi="Calibri"/>
          <w:color w:val="2d2d2d"/>
          <w:sz w:val="22"/>
          <w:szCs w:val="22"/>
          <w:rtl w:val="0"/>
        </w:rPr>
        <w:t xml:space="preserve">Exchanges: cmd.direct (direct), cmd.topic (topic) y cmd.dead.dlx (direct, para DLQ).</w:t>
      </w:r>
      <w:r w:rsidDel="00000000" w:rsidR="00000000" w:rsidRPr="00000000">
        <w:rPr>
          <w:rFonts w:ascii="Cambria" w:cs="Cambria" w:eastAsia="Cambria" w:hAnsi="Cambria"/>
          <w:sz w:val="22"/>
          <w:szCs w:val="22"/>
          <w:rtl w:val="0"/>
        </w:rPr>
        <w:br w:type="textWrapping"/>
      </w:r>
      <w:r w:rsidDel="00000000" w:rsidR="00000000" w:rsidRPr="00000000">
        <w:rPr>
          <w:rFonts w:ascii="Calibri" w:cs="Calibri" w:eastAsia="Calibri" w:hAnsi="Calibri"/>
          <w:color w:val="2d2d2d"/>
          <w:sz w:val="22"/>
          <w:szCs w:val="22"/>
          <w:rtl w:val="0"/>
        </w:rPr>
        <w:t xml:space="preserve">Buenas prácticas: envelope común (type, eventId, timestamp, traceId, correlationId), ACK/NACK explícitos, idempotencia y métricas de tasa de DLQ.</w:t>
      </w:r>
    </w:p>
    <w:p w:rsidR="00000000" w:rsidDel="00000000" w:rsidP="00000000" w:rsidRDefault="00000000" w:rsidRPr="00000000" w14:paraId="000000AD">
      <w:pPr>
        <w:spacing w:after="120" w:before="280" w:line="276" w:lineRule="auto"/>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9. Topología Kafka</w:t>
      </w:r>
      <w:r w:rsidDel="00000000" w:rsidR="00000000" w:rsidRPr="00000000">
        <w:rPr>
          <w:rtl w:val="0"/>
        </w:rPr>
      </w:r>
    </w:p>
    <w:sdt>
      <w:sdtPr>
        <w:lock w:val="contentLocked"/>
        <w:id w:val="1700506120"/>
        <w:tag w:val="goog_rdk_5"/>
      </w:sdtPr>
      <w:sdtContent>
        <w:tbl>
          <w:tblPr>
            <w:tblStyle w:val="Table6"/>
            <w:tblW w:w="13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1425"/>
            <w:gridCol w:w="1425"/>
            <w:gridCol w:w="1695"/>
            <w:gridCol w:w="1695"/>
            <w:gridCol w:w="4560"/>
            <w:tblGridChange w:id="0">
              <w:tblGrid>
                <w:gridCol w:w="2235"/>
                <w:gridCol w:w="1425"/>
                <w:gridCol w:w="1425"/>
                <w:gridCol w:w="1695"/>
                <w:gridCol w:w="1695"/>
                <w:gridCol w:w="4560"/>
              </w:tblGrid>
            </w:tblGridChange>
          </w:tblGrid>
          <w:tr>
            <w:trPr>
              <w:cantSplit w:val="0"/>
              <w:tblHeader w:val="0"/>
            </w:trPr>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AE">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Tópico</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AF">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Particiones</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B0">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Réplicas</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B1">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Política</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B2">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Retención</w:t>
                </w:r>
                <w:r w:rsidDel="00000000" w:rsidR="00000000" w:rsidRPr="00000000">
                  <w:rPr>
                    <w:rtl w:val="0"/>
                  </w:rPr>
                </w:r>
              </w:p>
            </w:tc>
            <w:tc>
              <w:tcPr>
                <w:tcBorders>
                  <w:top w:color="1b3a4b" w:space="0" w:sz="4" w:val="single"/>
                  <w:left w:color="1b3a4b" w:space="0" w:sz="4" w:val="single"/>
                  <w:bottom w:color="1b3a4b" w:space="0" w:sz="4" w:val="single"/>
                  <w:right w:color="1b3a4b" w:space="0" w:sz="4" w:val="single"/>
                </w:tcBorders>
                <w:shd w:fill="000000" w:val="clear"/>
              </w:tcPr>
              <w:p w:rsidR="00000000" w:rsidDel="00000000" w:rsidP="00000000" w:rsidRDefault="00000000" w:rsidRPr="00000000" w14:paraId="000000B3">
                <w:pPr>
                  <w:spacing w:after="40" w:before="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Propósito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shipments.events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6">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7">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delete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8">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3–7 días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B9">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Fuente de verdad de eventos de la envío. Alimenta reportería y auditoría.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A">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audit.timeline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B">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C">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D">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compact,delete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E">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14–30 días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4f1ec" w:val="clear"/>
              </w:tcPr>
              <w:p w:rsidR="00000000" w:rsidDel="00000000" w:rsidP="00000000" w:rsidRDefault="00000000" w:rsidRPr="00000000" w14:paraId="000000BF">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Historial quién / qué / cuándo / desde dónde.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0">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*.DLT (por consumidor)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1">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2">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3">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delete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4">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7–14 días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Pr>
              <w:p w:rsidR="00000000" w:rsidDel="00000000" w:rsidP="00000000" w:rsidRDefault="00000000" w:rsidRPr="00000000" w14:paraId="000000C5">
                <w:pPr>
                  <w:spacing w:after="40" w:before="40" w:lineRule="auto"/>
                  <w:rPr>
                    <w:rFonts w:ascii="Cambria" w:cs="Cambria" w:eastAsia="Cambria" w:hAnsi="Cambria"/>
                    <w:sz w:val="22"/>
                    <w:szCs w:val="22"/>
                  </w:rPr>
                </w:pPr>
                <w:r w:rsidDel="00000000" w:rsidR="00000000" w:rsidRPr="00000000">
                  <w:rPr>
                    <w:rFonts w:ascii="Calibri" w:cs="Calibri" w:eastAsia="Calibri" w:hAnsi="Calibri"/>
                    <w:color w:val="2d2d2d"/>
                    <w:rtl w:val="0"/>
                  </w:rPr>
                  <w:t xml:space="preserve">Mensajes que fallaron tras N reintentos, con metadatos de error.</w:t>
                </w:r>
                <w:r w:rsidDel="00000000" w:rsidR="00000000" w:rsidRPr="00000000">
                  <w:rPr>
                    <w:rtl w:val="0"/>
                  </w:rPr>
                </w:r>
              </w:p>
            </w:tc>
          </w:tr>
        </w:tbl>
      </w:sdtContent>
    </w:sdt>
    <w:p w:rsidR="00000000" w:rsidDel="00000000" w:rsidP="00000000" w:rsidRDefault="00000000" w:rsidRPr="00000000" w14:paraId="000000C6">
      <w:pPr>
        <w:spacing w:after="160" w:before="40" w:line="288" w:lineRule="auto"/>
        <w:jc w:val="both"/>
        <w:rPr>
          <w:rFonts w:ascii="Calibri" w:cs="Calibri" w:eastAsia="Calibri" w:hAnsi="Calibri"/>
          <w:b w:val="1"/>
          <w:bCs w:val="1"/>
          <w:color w:val="000000"/>
          <w:sz w:val="40"/>
          <w:szCs w:val="40"/>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Gadug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b7b7b7"/>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b7b7b7"/>
        <w:sz w:val="18"/>
        <w:szCs w:val="18"/>
        <w:u w:val="none"/>
        <w:shd w:fill="auto" w:val="clear"/>
        <w:vertAlign w:val="baseline"/>
        <w:rtl w:val="0"/>
      </w:rPr>
      <w:t xml:space="preserve">Subdirección de Diseño Instrucciona</w:t>
    </w:r>
    <w:r w:rsidDel="00000000" w:rsidR="00000000" w:rsidRPr="00000000">
      <w:rPr>
        <w:rFonts w:ascii="Calibri" w:cs="Calibri" w:eastAsia="Calibri" w:hAnsi="Calibri"/>
        <w:color w:val="b7b7b7"/>
        <w:sz w:val="18"/>
        <w:szCs w:val="18"/>
        <w:rtl w:val="0"/>
      </w:rPr>
      <w:t xml:space="preserve">l</w:t>
      <w:br w:type="textWrapping"/>
    </w:r>
    <w:r w:rsidDel="00000000" w:rsidR="00000000" w:rsidRPr="00000000">
      <w:rPr>
        <w:rFonts w:ascii="Calibri" w:cs="Calibri" w:eastAsia="Calibri" w:hAnsi="Calibri"/>
        <w:b w:val="0"/>
        <w:bCs w:val="0"/>
        <w:i w:val="0"/>
        <w:iCs w:val="0"/>
        <w:smallCaps w:val="0"/>
        <w:strike w:val="0"/>
        <w:color w:val="b7b7b7"/>
        <w:sz w:val="18"/>
        <w:szCs w:val="18"/>
        <w:u w:val="none"/>
        <w:shd w:fill="auto" w:val="clear"/>
        <w:vertAlign w:val="baseline"/>
        <w:rtl w:val="0"/>
      </w:rPr>
      <w:t xml:space="preserve">202</w:t>
    </w:r>
    <w:r w:rsidDel="00000000" w:rsidR="00000000" w:rsidRPr="00000000">
      <w:rPr>
        <w:rFonts w:ascii="Calibri" w:cs="Calibri" w:eastAsia="Calibri" w:hAnsi="Calibri"/>
        <w:color w:val="b7b7b7"/>
        <w:sz w:val="18"/>
        <w:szCs w:val="18"/>
        <w:rtl w:val="0"/>
      </w:rPr>
      <w:t xml:space="preserve">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8"/>
        <w:szCs w:val="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0"/>
        <w:szCs w:val="10"/>
        <w:u w:val="none"/>
        <w:shd w:fill="auto" w:val="clear"/>
        <w:vertAlign w:val="baseline"/>
      </w:rPr>
      <w:drawing>
        <wp:inline distB="0" distT="0" distL="0" distR="0">
          <wp:extent cx="1803964" cy="409866"/>
          <wp:effectExtent b="0" l="0" r="0" t="0"/>
          <wp:docPr id="194263249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03964" cy="40986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160" w:lineRule="auto"/>
    </w:pPr>
    <w:rPr>
      <w:rFonts w:ascii="Calibri" w:cs="Calibri" w:eastAsia="Calibri" w:hAnsi="Calibri"/>
      <w:color w:val="2e75b5"/>
      <w:sz w:val="32"/>
      <w:szCs w:val="3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DefaultParagraphFont"/>
    <w:link w:val="Encabezado"/>
    <w:uiPriority w:val="1"/>
    <w:rsid w:val="00D62B64"/>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DefaultParagraphFont"/>
    <w:link w:val="Piedepgina"/>
    <w:uiPriority w:val="99"/>
    <w:rsid w:val="00D62B64"/>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DefaultParagraphFont"/>
    <w:link w:val="Textodeglobo"/>
    <w:uiPriority w:val="99"/>
    <w:semiHidden w:val="1"/>
    <w:rsid w:val="00D62B64"/>
    <w:rPr>
      <w:rFonts w:ascii="Tahoma" w:cs="Tahoma" w:hAnsi="Tahoma"/>
      <w:sz w:val="16"/>
      <w:szCs w:val="16"/>
    </w:rPr>
  </w:style>
  <w:style w:type="character" w:styleId="Refdecomentario">
    <w:name w:val="annotation reference"/>
    <w:basedOn w:val="DefaultParagraphFont"/>
    <w:uiPriority w:val="99"/>
    <w:semiHidden w:val="1"/>
    <w:unhideWhenUsed w:val="1"/>
    <w:rsid w:val="00D62B64"/>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DefaultParagraphFont"/>
    <w:link w:val="Textocomentario"/>
    <w:uiPriority w:val="99"/>
    <w:rsid w:val="00D62B64"/>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DefaultParagraphFont"/>
    <w:link w:val="Textosinformato"/>
    <w:uiPriority w:val="1"/>
    <w:rsid w:val="00D62B64"/>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DefaultParagraphFont"/>
    <w:link w:val="Textonotapie"/>
    <w:uiPriority w:val="99"/>
    <w:semiHidden w:val="1"/>
    <w:rsid w:val="00D62B64"/>
    <w:rPr>
      <w:noProof w:val="1"/>
      <w:sz w:val="20"/>
      <w:szCs w:val="20"/>
    </w:rPr>
  </w:style>
  <w:style w:type="character" w:styleId="Refdenotaalpie">
    <w:name w:val="footnote reference"/>
    <w:basedOn w:val="DefaultParagraphFont"/>
    <w:uiPriority w:val="99"/>
    <w:semiHidden w:val="1"/>
    <w:unhideWhenUsed w:val="1"/>
    <w:rsid w:val="00D62B64"/>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Cuadrculadetab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DefaultParagraphFont"/>
    <w:uiPriority w:val="1"/>
    <w:rsid w:val="00D62B64"/>
  </w:style>
  <w:style w:type="character" w:styleId="eop" w:customStyle="1">
    <w:name w:val="eop"/>
    <w:basedOn w:val="DefaultParagraphFont"/>
    <w:uiPriority w:val="1"/>
    <w:rsid w:val="00D62B64"/>
  </w:style>
  <w:style w:type="character" w:styleId="Hipervnculo">
    <w:name w:val="Hyperlink"/>
    <w:basedOn w:val="DefaultParagraphFont"/>
    <w:uiPriority w:val="99"/>
    <w:semiHidden w:val="1"/>
    <w:unhideWhenUsed w:val="1"/>
    <w:rsid w:val="00D62B64"/>
    <w:rPr>
      <w:color w:val="0000ff"/>
      <w:u w:val="single"/>
    </w:rPr>
  </w:style>
  <w:style w:type="paragraph" w:styleId="paragraph" w:customStyle="1">
    <w:name w:val="paragraph"/>
    <w:basedOn w:val="Normal"/>
    <w:rsid w:val="00CC6EAA"/>
    <w:pPr>
      <w:spacing w:after="100" w:afterAutospacing="1" w:before="100" w:beforeAutospacing="1"/>
    </w:pPr>
    <w:rPr>
      <w:sz w:val="24"/>
      <w:szCs w:val="24"/>
      <w:lang w:eastAsia="es-CL" w:val="es-CL"/>
    </w:rPr>
  </w:style>
  <w:style w:type="table" w:styleId="Tabladecuadrcula4-nfasis3">
    <w:name w:val="Grid Table 4 Accent 3"/>
    <w:basedOn w:val="Tablanormal"/>
    <w:uiPriority w:val="49"/>
    <w:rsid w:val="00B27652"/>
    <w:pPr>
      <w:spacing w:after="0" w:line="240" w:lineRule="auto"/>
    </w:pPr>
    <w:tblPr>
      <w:tblStyleRowBandSize w:val="1"/>
      <w:tblStyleColBandSize w:val="1"/>
      <w:tblBorders>
        <w:top w:color="c9c9c9" w:space="0" w:sz="4" w:themeColor="accent3" w:themeTint="000099" w:val="single"/>
        <w:left w:color="c9c9c9" w:space="0" w:sz="4" w:themeColor="accent3" w:themeTint="000099" w:val="single"/>
        <w:bottom w:color="c9c9c9" w:space="0" w:sz="4" w:themeColor="accent3" w:themeTint="000099" w:val="single"/>
        <w:right w:color="c9c9c9" w:space="0" w:sz="4" w:themeColor="accent3" w:themeTint="000099" w:val="single"/>
        <w:insideH w:color="c9c9c9" w:space="0" w:sz="4" w:themeColor="accent3" w:themeTint="000099" w:val="single"/>
        <w:insideV w:color="c9c9c9" w:space="0" w:sz="4" w:themeColor="accent3" w:themeTint="000099" w:val="single"/>
      </w:tblBorders>
    </w:tblPr>
    <w:tblStylePr w:type="firstRow">
      <w:rPr>
        <w:b w:val="1"/>
        <w:bCs w:val="1"/>
        <w:color w:val="ffffff" w:themeColor="background1"/>
      </w:rPr>
      <w:tblPr/>
      <w:tcPr>
        <w:tcBorders>
          <w:top w:color="a5a5a5" w:space="0" w:sz="4" w:themeColor="accent3" w:val="single"/>
          <w:left w:color="a5a5a5" w:space="0" w:sz="4" w:themeColor="accent3" w:val="single"/>
          <w:bottom w:color="a5a5a5" w:space="0" w:sz="4" w:themeColor="accent3" w:val="single"/>
          <w:right w:color="a5a5a5" w:space="0" w:sz="4" w:themeColor="accent3" w:val="single"/>
          <w:insideH w:space="0" w:sz="0" w:val="nil"/>
          <w:insideV w:space="0" w:sz="0" w:val="nil"/>
        </w:tcBorders>
        <w:shd w:color="auto" w:fill="a5a5a5" w:themeFill="accent3" w:val="clear"/>
      </w:tcPr>
    </w:tblStylePr>
    <w:tblStylePr w:type="lastRow">
      <w:rPr>
        <w:b w:val="1"/>
        <w:bCs w:val="1"/>
      </w:rPr>
      <w:tblPr/>
      <w:tcPr>
        <w:tcBorders>
          <w:top w:color="a5a5a5" w:space="0" w:sz="4" w:themeColor="accent3" w:val="double"/>
        </w:tcBorders>
      </w:tcPr>
    </w:tblStylePr>
    <w:tblStylePr w:type="firstCol">
      <w:rPr>
        <w:b w:val="1"/>
        <w:bCs w:val="1"/>
      </w:rPr>
    </w:tblStylePr>
    <w:tblStylePr w:type="lastCol">
      <w:rPr>
        <w:b w:val="1"/>
        <w:bCs w:val="1"/>
      </w:rPr>
    </w:tblStylePr>
    <w:tblStylePr w:type="band1Vert">
      <w:tblPr/>
      <w:tcPr>
        <w:shd w:color="auto" w:fill="ededed" w:themeFill="accent3" w:themeFillTint="000033" w:val="clear"/>
      </w:tcPr>
    </w:tblStylePr>
    <w:tblStylePr w:type="band1Horz">
      <w:tblPr/>
      <w:tcPr>
        <w:shd w:color="auto" w:fill="ededed" w:themeFill="accent3" w:themeFillTint="000033" w:val="clear"/>
      </w:tcPr>
    </w:tblStylePr>
  </w:style>
  <w:style w:type="table" w:styleId="Tabladecuadrcula1clara-nfasis3">
    <w:name w:val="Grid Table 1 Light Accent 3"/>
    <w:basedOn w:val="Tablanormal"/>
    <w:uiPriority w:val="46"/>
    <w:rsid w:val="00B27652"/>
    <w:pPr>
      <w:spacing w:after="0" w:line="240" w:lineRule="auto"/>
    </w:pPr>
    <w:tblPr>
      <w:tblStyleRowBandSize w:val="1"/>
      <w:tblStyleColBandSize w:val="1"/>
      <w:tblBorders>
        <w:top w:color="dbdbdb" w:space="0" w:sz="4" w:themeColor="accent3" w:themeTint="000066" w:val="single"/>
        <w:left w:color="dbdbdb" w:space="0" w:sz="4" w:themeColor="accent3" w:themeTint="000066" w:val="single"/>
        <w:bottom w:color="dbdbdb" w:space="0" w:sz="4" w:themeColor="accent3" w:themeTint="000066" w:val="single"/>
        <w:right w:color="dbdbdb" w:space="0" w:sz="4" w:themeColor="accent3" w:themeTint="000066" w:val="single"/>
        <w:insideH w:color="dbdbdb" w:space="0" w:sz="4" w:themeColor="accent3" w:themeTint="000066" w:val="single"/>
        <w:insideV w:color="dbdbdb" w:space="0" w:sz="4" w:themeColor="accent3" w:themeTint="000066" w:val="single"/>
      </w:tblBorders>
    </w:tblPr>
    <w:tblStylePr w:type="firstRow">
      <w:rPr>
        <w:b w:val="1"/>
        <w:bCs w:val="1"/>
      </w:rPr>
      <w:tblPr/>
      <w:tcPr>
        <w:tcBorders>
          <w:bottom w:color="c9c9c9" w:space="0" w:sz="12" w:themeColor="accent3" w:themeTint="000099" w:val="single"/>
        </w:tcBorders>
      </w:tcPr>
    </w:tblStylePr>
    <w:tblStylePr w:type="lastRow">
      <w:rPr>
        <w:b w:val="1"/>
        <w:bCs w:val="1"/>
      </w:rPr>
      <w:tblPr/>
      <w:tcPr>
        <w:tcBorders>
          <w:top w:color="c9c9c9" w:space="0" w:sz="2" w:themeColor="accent3" w:themeTint="000099" w:val="double"/>
        </w:tcBorders>
      </w:tcPr>
    </w:tblStylePr>
    <w:tblStylePr w:type="firstCol">
      <w:rPr>
        <w:b w:val="1"/>
        <w:bCs w:val="1"/>
      </w:rPr>
    </w:tblStylePr>
    <w:tblStylePr w:type="lastCol">
      <w:rPr>
        <w:b w:val="1"/>
        <w:bCs w:val="1"/>
      </w:rPr>
    </w:tblStylePr>
  </w:style>
  <w:style w:type="paragraph" w:styleId="NormalWeb">
    <w:name w:val="Normal (Web)"/>
    <w:basedOn w:val="Normal"/>
    <w:uiPriority w:val="99"/>
    <w:semiHidden w:val="1"/>
    <w:unhideWhenUsed w:val="1"/>
    <w:rsid w:val="003F3CA7"/>
    <w:pPr>
      <w:spacing w:after="100" w:afterAutospacing="1" w:before="100" w:beforeAutospacing="1"/>
    </w:pPr>
    <w:rPr>
      <w:sz w:val="24"/>
      <w:szCs w:val="24"/>
      <w:lang w:eastAsia="en-US" w:val="en-US"/>
    </w:rPr>
  </w:style>
  <w:style w:type="character" w:styleId="Emphasis">
    <w:name w:val="Emphasis"/>
    <w:basedOn w:val="DefaultParagraphFont"/>
    <w:uiPriority w:val="20"/>
    <w:qFormat w:val="1"/>
    <w:rsid w:val="00D62B64"/>
    <w:rPr>
      <w:i w:val="1"/>
      <w:iCs w:val="1"/>
    </w:rPr>
  </w:style>
  <w:style w:type="table" w:styleId="ListTable4-Accent1">
    <w:name w:val="List Table 4 Accent 1"/>
    <w:basedOn w:val="Tablanormal"/>
    <w:uiPriority w:val="49"/>
    <w:pPr>
      <w:spacing w:after="0" w:line="240" w:lineRule="auto"/>
    </w:pPr>
    <w:tblPr>
      <w:tblStyleRowBandSize w:val="1"/>
      <w:tblStyleColBandSize w:val="1"/>
      <w:tblInd w:w="0.0" w:type="dxa"/>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tblBorders>
      <w:tblCellMar>
        <w:top w:w="0.0" w:type="dxa"/>
        <w:left w:w="108.0" w:type="dxa"/>
        <w:bottom w:w="0.0" w:type="dxa"/>
        <w:right w:w="108.0" w:type="dxa"/>
      </w:tblCellMar>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tcBorders>
        <w:shd w:color="auto" w:fill="5b9bd5" w:themeFill="accent1" w:val="clear"/>
      </w:tcPr>
    </w:tblStylePr>
    <w:tblStylePr w:type="lastRow">
      <w:rPr>
        <w:b w:val="1"/>
        <w:bCs w:val="1"/>
      </w:rPr>
      <w:tblPr/>
      <w:tcPr>
        <w:tcBorders>
          <w:top w:color="9cc2e5" w:space="0" w:sz="4" w:themeColor="accent1" w:themeTint="000099"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GridTable4-Accent1">
    <w:name w:val="Grid Table 4 Accent 1"/>
    <w:basedOn w:val="Tablanormal"/>
    <w:uiPriority w:val="49"/>
    <w:pPr>
      <w:spacing w:after="0" w:line="240" w:lineRule="auto"/>
    </w:pPr>
    <w:tblPr>
      <w:tblStyleRowBandSize w:val="1"/>
      <w:tblStyleColBandSize w:val="1"/>
      <w:tblInd w:w="0.0" w:type="dxa"/>
      <w:tblBorders>
        <w:top w:color="9cc2e5" w:space="0" w:sz="4" w:themeColor="accent1" w:themeTint="000099" w:val="single"/>
        <w:left w:color="9cc2e5" w:space="0" w:sz="4" w:themeColor="accent1" w:themeTint="000099" w:val="single"/>
        <w:bottom w:color="9cc2e5" w:space="0" w:sz="4" w:themeColor="accent1" w:themeTint="000099" w:val="single"/>
        <w:right w:color="9cc2e5" w:space="0" w:sz="4" w:themeColor="accent1" w:themeTint="000099" w:val="single"/>
        <w:insideH w:color="9cc2e5" w:space="0" w:sz="4" w:themeColor="accent1" w:themeTint="000099" w:val="single"/>
        <w:insideV w:color="9cc2e5" w:space="0" w:sz="4" w:themeColor="accent1" w:themeTint="000099" w:val="single"/>
      </w:tblBorders>
      <w:tblCellMar>
        <w:top w:w="0.0" w:type="dxa"/>
        <w:left w:w="108.0" w:type="dxa"/>
        <w:bottom w:w="0.0" w:type="dxa"/>
        <w:right w:w="108.0" w:type="dxa"/>
      </w:tblCellMar>
    </w:tblPr>
    <w:tblStylePr w:type="firstRow">
      <w:rPr>
        <w:b w:val="1"/>
        <w:bCs w:val="1"/>
        <w:color w:val="ffffff" w:themeColor="background1"/>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space="0" w:sz="0" w:val="nil"/>
          <w:insideV w:space="0" w:sz="0" w:val="nil"/>
        </w:tcBorders>
        <w:shd w:color="auto" w:fill="5b9bd5" w:themeFill="accent1" w:val="clear"/>
      </w:tcPr>
    </w:tblStylePr>
    <w:tblStylePr w:type="lastRow">
      <w:rPr>
        <w:b w:val="1"/>
        <w:bCs w:val="1"/>
      </w:rPr>
      <w:tblPr/>
      <w:tcPr>
        <w:tcBorders>
          <w:top w:color="5b9bd5" w:space="0" w:sz="4" w:themeColor="accent1" w:val="double"/>
        </w:tcBorders>
      </w:tcPr>
    </w:tblStylePr>
    <w:tblStylePr w:type="firstCol">
      <w:rPr>
        <w:b w:val="1"/>
        <w:bCs w:val="1"/>
      </w:rPr>
    </w:tblStylePr>
    <w:tblStylePr w:type="lastCol">
      <w:rPr>
        <w:b w:val="1"/>
        <w:bCs w:val="1"/>
      </w:rPr>
    </w:tblStylePr>
    <w:tblStylePr w:type="band1Vert">
      <w:tblPr/>
      <w:tcPr>
        <w:shd w:color="auto" w:fill="deeaf6" w:themeFill="accent1" w:themeFillTint="000033" w:val="clear"/>
      </w:tcPr>
    </w:tblStylePr>
    <w:tblStylePr w:type="band1Horz">
      <w:tblPr/>
      <w:tcPr>
        <w:shd w:color="auto" w:fill="deeaf6" w:themeFill="accent1" w:themeFillTint="000033" w:val="clear"/>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pfkf06294djMMAVQfeKKLw5WDw==">CgMxLjAaHwoBMBIaChgICVIUChJ0YWJsZS5yaGtlajVzZXVscWoaHwoBMRIaChgICVIUChJ0YWJsZS4zazBtbHM3bnl5MTgaHwoBMhIaChgICVIUChJ0YWJsZS5kbmNwdmgzOGF3aGMaHwoBMxIaChgICVIUChJ0YWJsZS41dXA3NXlzNGxpOGwaHwoBNBIaChgICVIUChJ0YWJsZS5vcmxzd3M4bDhpMG0aHwoBNRIaChgICVIUChJ0YWJsZS5raDJpdXZ3N2wyb2s4AHIhMXVDV3RqbXJTZVUtcC1BN2RDOWxMajNWbUxIYS1Te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2024-04-12T11:54:00Z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0x0101001EF7904F2152514DA8723AFD6C400489</vt:lpwstr>
  </property>
  <property fmtid="{D5CDD505-2E9C-101B-9397-08002B2CF9AE}" pid="3" name="MediaServiceImageTags">
    <vt:lpwstr/>
  </property>
  <property fmtid="{D5CDD505-2E9C-101B-9397-08002B2CF9AE}" pid="4" name="Order">
    <vt:r8>2900.0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