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A9" w:rsidRPr="00F20B6F" w:rsidRDefault="00F20B6F" w:rsidP="00F20B6F">
      <w:pPr>
        <w:spacing w:after="0"/>
        <w:rPr>
          <w:b/>
        </w:rPr>
      </w:pPr>
      <w:r w:rsidRPr="00F20B6F">
        <w:rPr>
          <w:b/>
        </w:rPr>
        <w:t>Results</w:t>
      </w:r>
    </w:p>
    <w:p w:rsidR="00F20B6F" w:rsidRDefault="00F20B6F" w:rsidP="00F20B6F">
      <w:pPr>
        <w:spacing w:after="0"/>
      </w:pPr>
    </w:p>
    <w:p w:rsidR="00F20B6F" w:rsidRPr="00F20B6F" w:rsidRDefault="00F20B6F" w:rsidP="00F20B6F">
      <w:pPr>
        <w:spacing w:after="0"/>
        <w:rPr>
          <w:b/>
        </w:rPr>
      </w:pPr>
      <w:r w:rsidRPr="00F20B6F">
        <w:rPr>
          <w:b/>
        </w:rPr>
        <w:t>Spatial Variation in Diesel Ownership</w:t>
      </w:r>
    </w:p>
    <w:p w:rsidR="00F20B6F" w:rsidRDefault="00F20B6F" w:rsidP="00F20B6F">
      <w:pPr>
        <w:spacing w:after="0"/>
      </w:pPr>
    </w:p>
    <w:p w:rsidR="00F20B6F" w:rsidRDefault="00F20B6F" w:rsidP="00277B55">
      <w:pPr>
        <w:spacing w:after="0"/>
        <w:jc w:val="both"/>
      </w:pPr>
      <w:r w:rsidRPr="00277B55">
        <w:rPr>
          <w:highlight w:val="yellow"/>
        </w:rPr>
        <w:t>Figure Y</w:t>
      </w:r>
      <w:r>
        <w:t xml:space="preserve"> displays the rate of diesel car ownership across </w:t>
      </w:r>
      <w:r w:rsidR="00277B55">
        <w:t>the local authorities of the UK grouped by</w:t>
      </w:r>
      <w:r>
        <w:t xml:space="preserve"> Government Office Regions of the</w:t>
      </w:r>
      <w:r w:rsidR="00277B55">
        <w:t xml:space="preserve"> UK. From this figure, it is apparent that the local authorities of Northern Ireland tend to contain higher proportions of diesel cars in their fleets com</w:t>
      </w:r>
      <w:r w:rsidR="000C0F74">
        <w:t>pared to other regions. This observation indicates that a process is active in Northern Ireland that may be encouraging the ownership of diesel cars which is not present in the rest of the UK.</w:t>
      </w:r>
    </w:p>
    <w:p w:rsidR="00277B55" w:rsidRDefault="00277B55" w:rsidP="00F20B6F">
      <w:pPr>
        <w:spacing w:after="0"/>
      </w:pPr>
    </w:p>
    <w:p w:rsidR="00277B55" w:rsidRDefault="00D1290B" w:rsidP="00FB78D7">
      <w:pPr>
        <w:spacing w:after="0"/>
        <w:jc w:val="center"/>
        <w:rPr>
          <w:noProof/>
          <w:lang w:eastAsia="en-GB"/>
        </w:rPr>
      </w:pPr>
      <w:r>
        <w:rPr>
          <w:noProof/>
          <w:lang w:eastAsia="en-GB"/>
        </w:rPr>
        <w:drawing>
          <wp:inline distT="0" distB="0" distL="0" distR="0">
            <wp:extent cx="5585791" cy="357512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_diesel_boxplot.png"/>
                    <pic:cNvPicPr/>
                  </pic:nvPicPr>
                  <pic:blipFill>
                    <a:blip r:embed="rId4">
                      <a:extLst>
                        <a:ext uri="{28A0092B-C50C-407E-A947-70E740481C1C}">
                          <a14:useLocalDpi xmlns:a14="http://schemas.microsoft.com/office/drawing/2010/main" val="0"/>
                        </a:ext>
                      </a:extLst>
                    </a:blip>
                    <a:stretch>
                      <a:fillRect/>
                    </a:stretch>
                  </pic:blipFill>
                  <pic:spPr>
                    <a:xfrm>
                      <a:off x="0" y="0"/>
                      <a:ext cx="5586561" cy="3575622"/>
                    </a:xfrm>
                    <a:prstGeom prst="rect">
                      <a:avLst/>
                    </a:prstGeom>
                  </pic:spPr>
                </pic:pic>
              </a:graphicData>
            </a:graphic>
          </wp:inline>
        </w:drawing>
      </w:r>
    </w:p>
    <w:p w:rsidR="00277B55" w:rsidRDefault="00277B55" w:rsidP="00277B55">
      <w:pPr>
        <w:spacing w:after="0"/>
        <w:jc w:val="both"/>
        <w:rPr>
          <w:noProof/>
          <w:lang w:eastAsia="en-GB"/>
        </w:rPr>
      </w:pPr>
      <w:r w:rsidRPr="00277B55">
        <w:rPr>
          <w:b/>
          <w:noProof/>
          <w:highlight w:val="yellow"/>
          <w:lang w:eastAsia="en-GB"/>
        </w:rPr>
        <w:t>Figure Y:</w:t>
      </w:r>
      <w:r>
        <w:rPr>
          <w:noProof/>
          <w:lang w:eastAsia="en-GB"/>
        </w:rPr>
        <w:t xml:space="preserve"> The percentage of a local authorities car fleet that is fuelled by diesel grouped by Government Office Region</w:t>
      </w:r>
    </w:p>
    <w:p w:rsidR="00277B55" w:rsidRDefault="00277B55" w:rsidP="00F20B6F">
      <w:pPr>
        <w:spacing w:after="0"/>
      </w:pPr>
    </w:p>
    <w:p w:rsidR="001F7DE2" w:rsidRDefault="001F7DE2" w:rsidP="003E02FD">
      <w:pPr>
        <w:spacing w:after="0"/>
        <w:jc w:val="both"/>
      </w:pPr>
      <w:r>
        <w:t xml:space="preserve">Examining the spatial variation in diesel car ownership that is present within Northern Ireland, </w:t>
      </w:r>
      <w:r w:rsidRPr="001F7DE2">
        <w:rPr>
          <w:highlight w:val="yellow"/>
        </w:rPr>
        <w:t>Figure Y</w:t>
      </w:r>
      <w:r>
        <w:t xml:space="preserve"> illustrates the percentage</w:t>
      </w:r>
      <w:r w:rsidR="007B3E2A">
        <w:t xml:space="preserve"> of the car fleet which is diesel fuelled across the SOAs</w:t>
      </w:r>
      <w:r>
        <w:t xml:space="preserve">. </w:t>
      </w:r>
      <w:r w:rsidR="003E02FD">
        <w:t xml:space="preserve">In this figure, it is evident that spatial units that are closer to the border with the Republic of Ireland tend to display higher rates of diesel car ownership, with the rate diminishing as proximity to Belfast (the national capital located in the mid-east) increases. </w:t>
      </w:r>
    </w:p>
    <w:p w:rsidR="000C0F74" w:rsidRDefault="000C0F74" w:rsidP="00F20B6F">
      <w:pPr>
        <w:spacing w:after="0"/>
      </w:pPr>
    </w:p>
    <w:p w:rsidR="001F7DE2" w:rsidRDefault="003E02FD" w:rsidP="00F20B6F">
      <w:pPr>
        <w:spacing w:after="0"/>
        <w:rPr>
          <w:noProof/>
          <w:lang w:eastAsia="en-GB"/>
        </w:rPr>
      </w:pPr>
      <w:r>
        <w:rPr>
          <w:noProof/>
          <w:lang w:eastAsia="en-GB"/>
        </w:rPr>
        <w:lastRenderedPageBreak/>
        <w:drawing>
          <wp:inline distT="0" distB="0" distL="0" distR="0" wp14:anchorId="3FDBF1BB" wp14:editId="73D56580">
            <wp:extent cx="5533209" cy="3872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opleth_v1.png"/>
                    <pic:cNvPicPr/>
                  </pic:nvPicPr>
                  <pic:blipFill rotWithShape="1">
                    <a:blip r:embed="rId5" cstate="print">
                      <a:extLst>
                        <a:ext uri="{28A0092B-C50C-407E-A947-70E740481C1C}">
                          <a14:useLocalDpi xmlns:a14="http://schemas.microsoft.com/office/drawing/2010/main" val="0"/>
                        </a:ext>
                      </a:extLst>
                    </a:blip>
                    <a:srcRect l="1804" t="2353" r="1629" b="2084"/>
                    <a:stretch/>
                  </pic:blipFill>
                  <pic:spPr bwMode="auto">
                    <a:xfrm>
                      <a:off x="0" y="0"/>
                      <a:ext cx="5534753" cy="3873365"/>
                    </a:xfrm>
                    <a:prstGeom prst="rect">
                      <a:avLst/>
                    </a:prstGeom>
                    <a:ln>
                      <a:noFill/>
                    </a:ln>
                    <a:extLst>
                      <a:ext uri="{53640926-AAD7-44D8-BBD7-CCE9431645EC}">
                        <a14:shadowObscured xmlns:a14="http://schemas.microsoft.com/office/drawing/2010/main"/>
                      </a:ext>
                    </a:extLst>
                  </pic:spPr>
                </pic:pic>
              </a:graphicData>
            </a:graphic>
          </wp:inline>
        </w:drawing>
      </w:r>
    </w:p>
    <w:p w:rsidR="003E02FD" w:rsidRDefault="003E02FD" w:rsidP="00F20B6F">
      <w:pPr>
        <w:spacing w:after="0"/>
        <w:rPr>
          <w:noProof/>
          <w:lang w:eastAsia="en-GB"/>
        </w:rPr>
      </w:pPr>
    </w:p>
    <w:p w:rsidR="003E02FD" w:rsidRDefault="00566392" w:rsidP="00B352E4">
      <w:pPr>
        <w:spacing w:after="0"/>
        <w:jc w:val="both"/>
        <w:rPr>
          <w:noProof/>
          <w:lang w:eastAsia="en-GB"/>
        </w:rPr>
      </w:pPr>
      <w:r w:rsidRPr="00566392">
        <w:rPr>
          <w:b/>
          <w:noProof/>
          <w:highlight w:val="yellow"/>
          <w:lang w:eastAsia="en-GB"/>
        </w:rPr>
        <w:t>Figure Y:</w:t>
      </w:r>
      <w:r>
        <w:rPr>
          <w:noProof/>
          <w:lang w:eastAsia="en-GB"/>
        </w:rPr>
        <w:t xml:space="preserve"> Choropleth map showing the proportion of the local car fleet that is diesel fuelled across the Super Output Areas of Northern Ireland </w:t>
      </w:r>
    </w:p>
    <w:p w:rsidR="00566392" w:rsidRDefault="00566392" w:rsidP="00B352E4">
      <w:pPr>
        <w:spacing w:after="0"/>
        <w:jc w:val="both"/>
        <w:rPr>
          <w:noProof/>
          <w:lang w:eastAsia="en-GB"/>
        </w:rPr>
      </w:pPr>
    </w:p>
    <w:p w:rsidR="003E02FD" w:rsidRDefault="007865C2" w:rsidP="00B352E4">
      <w:pPr>
        <w:spacing w:after="0"/>
        <w:jc w:val="both"/>
      </w:pPr>
      <w:r>
        <w:t>The spatial patterning in the rate of diesel car ownership also exhibits signs of spatial dependence, whereby the proportion of the car fleet which is diesel fuelled in one spatial unit is related to the proportion observed in neighbouring spatial units. This is supported by Moran’s-I test of spatial autocorrelation, which returns a strong positive coefficient (</w:t>
      </w:r>
      <w:r w:rsidRPr="007865C2">
        <w:rPr>
          <w:highlight w:val="yellow"/>
        </w:rPr>
        <w:t>SYMBOL</w:t>
      </w:r>
      <w:r>
        <w:t xml:space="preserve"> = 0.919, p-vale &lt; .001). </w:t>
      </w:r>
      <w:r w:rsidR="00B352E4">
        <w:t xml:space="preserve">The occurrence of spatial dependence is clearly visible in the LISA analysis reported in </w:t>
      </w:r>
      <w:r w:rsidR="00B352E4" w:rsidRPr="00B352E4">
        <w:rPr>
          <w:highlight w:val="yellow"/>
        </w:rPr>
        <w:t>Figure Y</w:t>
      </w:r>
      <w:r w:rsidR="00B352E4">
        <w:t>. Here, it is apparent that the border region of Northern Ireland, and extending a considerable distance inland, represents a h</w:t>
      </w:r>
      <w:r w:rsidR="006A1DA6">
        <w:t xml:space="preserve">ot-spot of diesel car ownership. Conversely, a cold-spot is present in the mid-east of the country and corresponds with the metropolitan area of Belfast. </w:t>
      </w:r>
    </w:p>
    <w:p w:rsidR="002D6B92" w:rsidRDefault="002D6B92" w:rsidP="00B352E4">
      <w:pPr>
        <w:spacing w:after="0"/>
        <w:jc w:val="both"/>
      </w:pPr>
    </w:p>
    <w:p w:rsidR="00B352E4" w:rsidRDefault="00B352E4" w:rsidP="00B352E4">
      <w:pPr>
        <w:spacing w:after="0"/>
        <w:jc w:val="both"/>
      </w:pPr>
    </w:p>
    <w:p w:rsidR="00B352E4" w:rsidRDefault="00B352E4" w:rsidP="00B352E4">
      <w:pPr>
        <w:spacing w:after="0"/>
        <w:jc w:val="both"/>
      </w:pPr>
      <w:r>
        <w:rPr>
          <w:noProof/>
          <w:lang w:eastAsia="en-GB"/>
        </w:rPr>
        <w:lastRenderedPageBreak/>
        <w:drawing>
          <wp:inline distT="0" distB="0" distL="0" distR="0">
            <wp:extent cx="5534108" cy="3863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_v1.png"/>
                    <pic:cNvPicPr/>
                  </pic:nvPicPr>
                  <pic:blipFill rotWithShape="1">
                    <a:blip r:embed="rId6" cstate="print">
                      <a:extLst>
                        <a:ext uri="{28A0092B-C50C-407E-A947-70E740481C1C}">
                          <a14:useLocalDpi xmlns:a14="http://schemas.microsoft.com/office/drawing/2010/main" val="0"/>
                        </a:ext>
                      </a:extLst>
                    </a:blip>
                    <a:srcRect l="1803" t="2551" r="1619" b="2097"/>
                    <a:stretch/>
                  </pic:blipFill>
                  <pic:spPr bwMode="auto">
                    <a:xfrm>
                      <a:off x="0" y="0"/>
                      <a:ext cx="5535380" cy="3864863"/>
                    </a:xfrm>
                    <a:prstGeom prst="rect">
                      <a:avLst/>
                    </a:prstGeom>
                    <a:ln>
                      <a:noFill/>
                    </a:ln>
                    <a:extLst>
                      <a:ext uri="{53640926-AAD7-44D8-BBD7-CCE9431645EC}">
                        <a14:shadowObscured xmlns:a14="http://schemas.microsoft.com/office/drawing/2010/main"/>
                      </a:ext>
                    </a:extLst>
                  </pic:spPr>
                </pic:pic>
              </a:graphicData>
            </a:graphic>
          </wp:inline>
        </w:drawing>
      </w:r>
    </w:p>
    <w:p w:rsidR="00B352E4" w:rsidRDefault="00B352E4" w:rsidP="00B352E4">
      <w:pPr>
        <w:spacing w:after="0"/>
        <w:jc w:val="both"/>
      </w:pPr>
    </w:p>
    <w:p w:rsidR="00B352E4" w:rsidRDefault="006A1DA6" w:rsidP="00B352E4">
      <w:pPr>
        <w:spacing w:after="0"/>
        <w:jc w:val="both"/>
      </w:pPr>
      <w:r w:rsidRPr="00566392">
        <w:rPr>
          <w:b/>
          <w:highlight w:val="yellow"/>
        </w:rPr>
        <w:t>Figure Y</w:t>
      </w:r>
      <w:r>
        <w:t xml:space="preserve">: Local indicator of spatial association </w:t>
      </w:r>
      <w:r w:rsidR="00566392">
        <w:t>concerning the proportion of the local car fleet which is diesel fuelled</w:t>
      </w:r>
    </w:p>
    <w:p w:rsidR="00B352E4" w:rsidRDefault="00B352E4" w:rsidP="00B352E4">
      <w:pPr>
        <w:spacing w:after="0"/>
        <w:jc w:val="both"/>
      </w:pPr>
    </w:p>
    <w:p w:rsidR="00C61300" w:rsidRPr="00047122" w:rsidRDefault="00C61300" w:rsidP="00B352E4">
      <w:pPr>
        <w:spacing w:after="0"/>
        <w:jc w:val="both"/>
        <w:rPr>
          <w:b/>
        </w:rPr>
      </w:pPr>
      <w:r w:rsidRPr="00047122">
        <w:rPr>
          <w:b/>
        </w:rPr>
        <w:t>Nearness to Border</w:t>
      </w:r>
    </w:p>
    <w:p w:rsidR="00C61300" w:rsidRDefault="00C61300" w:rsidP="00B352E4">
      <w:pPr>
        <w:spacing w:after="0"/>
        <w:jc w:val="both"/>
      </w:pPr>
    </w:p>
    <w:p w:rsidR="00047122" w:rsidRDefault="00047122" w:rsidP="00B352E4">
      <w:pPr>
        <w:spacing w:after="0"/>
        <w:jc w:val="both"/>
      </w:pPr>
      <w:r>
        <w:t xml:space="preserve">Figure Y displays the dispersion of the local car fleet that is fuelled by diesel across the border buffer groups of SOAs (i.e. the contiguity method). SOAs that intersect both a 5, 10, 15, and 20 km buffer with the border to the Republic of Ireland appear to have similar rates of diesel car ownership. This rate drops of noticeably for the SOAs that are outside of a 20 km buffer to the border (i.e. the rest of Northern Ireland), where the average rate of diesel car ownership is approximately 40%. The </w:t>
      </w:r>
      <w:r w:rsidR="005F4CFB">
        <w:t xml:space="preserve">visible difference between the SOAs of the rest of Northern Ireland category and those assigned the buffer categories is supported by a significant </w:t>
      </w:r>
      <w:proofErr w:type="spellStart"/>
      <w:r w:rsidR="005A29BD">
        <w:t>Kruskal</w:t>
      </w:r>
      <w:proofErr w:type="spellEnd"/>
      <w:r w:rsidR="005A29BD">
        <w:t>-Wallis</w:t>
      </w:r>
      <w:r w:rsidR="005F4CFB">
        <w:t xml:space="preserve"> test results (H = 335.929, p-value &lt; .001).</w:t>
      </w:r>
    </w:p>
    <w:p w:rsidR="005F4CFB" w:rsidRDefault="005F4CFB" w:rsidP="00B352E4">
      <w:pPr>
        <w:spacing w:after="0"/>
        <w:jc w:val="both"/>
      </w:pPr>
    </w:p>
    <w:p w:rsidR="00047122" w:rsidRDefault="00047122" w:rsidP="00B352E4">
      <w:pPr>
        <w:spacing w:after="0"/>
        <w:jc w:val="both"/>
      </w:pPr>
    </w:p>
    <w:p w:rsidR="00586FDE" w:rsidRDefault="00586FDE" w:rsidP="00B352E4">
      <w:pPr>
        <w:spacing w:after="0"/>
        <w:jc w:val="both"/>
      </w:pPr>
    </w:p>
    <w:p w:rsidR="00586FDE" w:rsidRDefault="00586FDE" w:rsidP="00586FDE">
      <w:pPr>
        <w:spacing w:after="0"/>
        <w:jc w:val="center"/>
      </w:pPr>
      <w:r>
        <w:rPr>
          <w:noProof/>
          <w:lang w:eastAsia="en-GB"/>
        </w:rPr>
        <w:lastRenderedPageBreak/>
        <w:drawing>
          <wp:inline distT="0" distB="0" distL="0" distR="0" wp14:anchorId="097856D0" wp14:editId="68A725E1">
            <wp:extent cx="4562061" cy="291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ffer_box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7425" cy="2923334"/>
                    </a:xfrm>
                    <a:prstGeom prst="rect">
                      <a:avLst/>
                    </a:prstGeom>
                  </pic:spPr>
                </pic:pic>
              </a:graphicData>
            </a:graphic>
          </wp:inline>
        </w:drawing>
      </w:r>
    </w:p>
    <w:p w:rsidR="00586FDE" w:rsidRDefault="00586FDE" w:rsidP="00B352E4">
      <w:pPr>
        <w:spacing w:after="0"/>
        <w:jc w:val="both"/>
      </w:pPr>
    </w:p>
    <w:p w:rsidR="00586FDE" w:rsidRDefault="00FB78D7" w:rsidP="00B352E4">
      <w:pPr>
        <w:spacing w:after="0"/>
        <w:jc w:val="both"/>
      </w:pPr>
      <w:r w:rsidRPr="00FB78D7">
        <w:rPr>
          <w:b/>
          <w:highlight w:val="yellow"/>
        </w:rPr>
        <w:t>Figure Y</w:t>
      </w:r>
      <w:r>
        <w:t>: Boxplots grouping Super Output Areas by buffer to the border with the Republic of Ireland (i.e. the contiguity method) by the proportion of the car fleet that is fuelled by diesel</w:t>
      </w:r>
    </w:p>
    <w:p w:rsidR="00586FDE" w:rsidRDefault="00586FDE" w:rsidP="00B352E4">
      <w:pPr>
        <w:spacing w:after="0"/>
        <w:jc w:val="both"/>
      </w:pPr>
    </w:p>
    <w:p w:rsidR="00095000" w:rsidRDefault="00095000" w:rsidP="00B352E4">
      <w:pPr>
        <w:spacing w:after="0"/>
        <w:jc w:val="both"/>
      </w:pPr>
      <w:r>
        <w:t xml:space="preserve">Figure </w:t>
      </w:r>
      <w:proofErr w:type="spellStart"/>
      <w:proofErr w:type="gramStart"/>
      <w:r>
        <w:t>Ya</w:t>
      </w:r>
      <w:proofErr w:type="spellEnd"/>
      <w:proofErr w:type="gramEnd"/>
      <w:r>
        <w:t xml:space="preserve"> evaluates the relationship between diesel car ownership and Euclidean distance to the nearest road crossing into the Republic of Ireland (i.e. the proximity method). In this instance, a negative relationship is evident (</w:t>
      </w:r>
      <w:proofErr w:type="spellStart"/>
      <w:r>
        <w:t>r</w:t>
      </w:r>
      <w:r w:rsidRPr="00095000">
        <w:rPr>
          <w:vertAlign w:val="subscript"/>
        </w:rPr>
        <w:t>s</w:t>
      </w:r>
      <w:proofErr w:type="spellEnd"/>
      <w:r>
        <w:t xml:space="preserve">: </w:t>
      </w:r>
      <w:r w:rsidR="001550AC">
        <w:t>-</w:t>
      </w:r>
      <w:r>
        <w:t xml:space="preserve">0.713, p-value &lt; 0.001), implying that as proximity to the border decreases, the rate of diesel car ownership tends to decrease. </w:t>
      </w:r>
      <w:r w:rsidR="001550AC">
        <w:t xml:space="preserve">A similar set of findings is presented when considering network distance to the nearest fuel station in the Republic of Ireland (Figure </w:t>
      </w:r>
      <w:proofErr w:type="spellStart"/>
      <w:r w:rsidR="001550AC">
        <w:t>Yb</w:t>
      </w:r>
      <w:proofErr w:type="spellEnd"/>
      <w:r w:rsidR="001550AC">
        <w:t xml:space="preserve">; </w:t>
      </w:r>
      <w:proofErr w:type="spellStart"/>
      <w:r w:rsidR="001550AC">
        <w:t>r</w:t>
      </w:r>
      <w:r w:rsidR="001550AC" w:rsidRPr="00095000">
        <w:rPr>
          <w:vertAlign w:val="subscript"/>
        </w:rPr>
        <w:t>s</w:t>
      </w:r>
      <w:proofErr w:type="spellEnd"/>
      <w:r w:rsidR="001550AC">
        <w:t xml:space="preserve">: -0.598, p-value &lt; 0.001) and network time to the nearest fuel station (Figure </w:t>
      </w:r>
      <w:proofErr w:type="spellStart"/>
      <w:r w:rsidR="001550AC">
        <w:t>Yc</w:t>
      </w:r>
      <w:proofErr w:type="spellEnd"/>
      <w:r w:rsidR="001550AC">
        <w:t xml:space="preserve">, </w:t>
      </w:r>
      <w:proofErr w:type="spellStart"/>
      <w:r w:rsidR="001550AC">
        <w:t>r</w:t>
      </w:r>
      <w:r w:rsidR="001550AC" w:rsidRPr="00095000">
        <w:rPr>
          <w:vertAlign w:val="subscript"/>
        </w:rPr>
        <w:t>s</w:t>
      </w:r>
      <w:proofErr w:type="spellEnd"/>
      <w:r w:rsidR="001550AC">
        <w:t xml:space="preserve">: -0.475, p-value &lt; 0.001). </w:t>
      </w:r>
    </w:p>
    <w:p w:rsidR="00586FDE" w:rsidRDefault="00586FDE" w:rsidP="00B352E4">
      <w:pPr>
        <w:spacing w:after="0"/>
        <w:jc w:val="both"/>
      </w:pPr>
    </w:p>
    <w:tbl>
      <w:tblPr>
        <w:tblStyle w:val="TableGrid"/>
        <w:tblW w:w="9266" w:type="dxa"/>
        <w:jc w:val="center"/>
        <w:tblLook w:val="04A0" w:firstRow="1" w:lastRow="0" w:firstColumn="1" w:lastColumn="0" w:noHBand="0" w:noVBand="1"/>
      </w:tblPr>
      <w:tblGrid>
        <w:gridCol w:w="3276"/>
        <w:gridCol w:w="3219"/>
        <w:gridCol w:w="3246"/>
      </w:tblGrid>
      <w:tr w:rsidR="00FB78D7" w:rsidTr="00FB78D7">
        <w:trPr>
          <w:trHeight w:val="2087"/>
          <w:jc w:val="center"/>
        </w:trPr>
        <w:tc>
          <w:tcPr>
            <w:tcW w:w="3151" w:type="dxa"/>
            <w:tcBorders>
              <w:top w:val="nil"/>
              <w:left w:val="nil"/>
              <w:bottom w:val="nil"/>
              <w:right w:val="nil"/>
            </w:tcBorders>
          </w:tcPr>
          <w:p w:rsidR="00586FDE" w:rsidRDefault="00586FDE" w:rsidP="00FB78D7">
            <w:pPr>
              <w:jc w:val="center"/>
            </w:pPr>
            <w:r>
              <w:rPr>
                <w:noProof/>
                <w:lang w:eastAsia="en-GB"/>
              </w:rPr>
              <w:drawing>
                <wp:inline distT="0" distB="0" distL="0" distR="0">
                  <wp:extent cx="1933904" cy="1237776"/>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_to_crossing_scat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424" cy="1244509"/>
                          </a:xfrm>
                          <a:prstGeom prst="rect">
                            <a:avLst/>
                          </a:prstGeom>
                        </pic:spPr>
                      </pic:pic>
                    </a:graphicData>
                  </a:graphic>
                </wp:inline>
              </w:drawing>
            </w:r>
          </w:p>
        </w:tc>
        <w:tc>
          <w:tcPr>
            <w:tcW w:w="3046" w:type="dxa"/>
            <w:tcBorders>
              <w:top w:val="nil"/>
              <w:left w:val="nil"/>
              <w:bottom w:val="nil"/>
              <w:right w:val="nil"/>
            </w:tcBorders>
          </w:tcPr>
          <w:p w:rsidR="00586FDE" w:rsidRDefault="00FB78D7" w:rsidP="00FB78D7">
            <w:pPr>
              <w:jc w:val="center"/>
            </w:pPr>
            <w:r>
              <w:rPr>
                <w:noProof/>
                <w:lang w:eastAsia="en-GB"/>
              </w:rPr>
              <w:drawing>
                <wp:inline distT="0" distB="0" distL="0" distR="0">
                  <wp:extent cx="1907379" cy="12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_dist_scat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164" cy="1226423"/>
                          </a:xfrm>
                          <a:prstGeom prst="rect">
                            <a:avLst/>
                          </a:prstGeom>
                        </pic:spPr>
                      </pic:pic>
                    </a:graphicData>
                  </a:graphic>
                </wp:inline>
              </w:drawing>
            </w:r>
          </w:p>
        </w:tc>
        <w:tc>
          <w:tcPr>
            <w:tcW w:w="3069" w:type="dxa"/>
            <w:tcBorders>
              <w:top w:val="nil"/>
              <w:left w:val="nil"/>
              <w:bottom w:val="nil"/>
              <w:right w:val="nil"/>
            </w:tcBorders>
          </w:tcPr>
          <w:p w:rsidR="00586FDE" w:rsidRDefault="00FB78D7" w:rsidP="00FB78D7">
            <w:pPr>
              <w:jc w:val="center"/>
            </w:pPr>
            <w:r>
              <w:rPr>
                <w:noProof/>
                <w:lang w:eastAsia="en-GB"/>
              </w:rPr>
              <w:drawing>
                <wp:inline distT="0" distB="0" distL="0" distR="0">
                  <wp:extent cx="1919152" cy="122833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ime_scat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063" cy="1237238"/>
                          </a:xfrm>
                          <a:prstGeom prst="rect">
                            <a:avLst/>
                          </a:prstGeom>
                        </pic:spPr>
                      </pic:pic>
                    </a:graphicData>
                  </a:graphic>
                </wp:inline>
              </w:drawing>
            </w:r>
          </w:p>
        </w:tc>
      </w:tr>
    </w:tbl>
    <w:p w:rsidR="00586FDE" w:rsidRDefault="00586FDE" w:rsidP="00B352E4">
      <w:pPr>
        <w:spacing w:after="0"/>
        <w:jc w:val="both"/>
      </w:pPr>
    </w:p>
    <w:p w:rsidR="00586FDE" w:rsidRDefault="00FB78D7" w:rsidP="00B352E4">
      <w:pPr>
        <w:spacing w:after="0"/>
        <w:jc w:val="both"/>
      </w:pPr>
      <w:r w:rsidRPr="00FB78D7">
        <w:rPr>
          <w:b/>
          <w:highlight w:val="yellow"/>
        </w:rPr>
        <w:t>Figure Y:</w:t>
      </w:r>
      <w:r w:rsidRPr="00FB78D7">
        <w:rPr>
          <w:b/>
        </w:rPr>
        <w:t xml:space="preserve"> </w:t>
      </w:r>
      <w:r>
        <w:t>Scatterplots of proportion of the Super Output Area car fleet that is diesel fuelled (y-axis) against (a) Euclidean distance to the nearest road crossing, (b) network distance to the nearest fuel station in the Republic of Ireland, and (C)</w:t>
      </w:r>
      <w:r w:rsidR="001550AC">
        <w:t xml:space="preserve"> network time to the nearest fuel station in the Republic of Ireland</w:t>
      </w:r>
    </w:p>
    <w:p w:rsidR="00C61300" w:rsidRDefault="00C61300" w:rsidP="00B352E4">
      <w:pPr>
        <w:spacing w:after="0"/>
        <w:jc w:val="both"/>
      </w:pPr>
    </w:p>
    <w:p w:rsidR="001550AC" w:rsidRPr="00517F88" w:rsidRDefault="00517F88" w:rsidP="00B352E4">
      <w:pPr>
        <w:spacing w:after="0"/>
        <w:jc w:val="both"/>
        <w:rPr>
          <w:b/>
        </w:rPr>
      </w:pPr>
      <w:r w:rsidRPr="00517F88">
        <w:rPr>
          <w:b/>
        </w:rPr>
        <w:t>Regression Analysis</w:t>
      </w:r>
    </w:p>
    <w:p w:rsidR="00517F88" w:rsidRDefault="00517F88" w:rsidP="00B352E4">
      <w:pPr>
        <w:spacing w:after="0"/>
        <w:jc w:val="both"/>
      </w:pPr>
    </w:p>
    <w:p w:rsidR="00517F88" w:rsidRDefault="00517F88" w:rsidP="00B352E4">
      <w:pPr>
        <w:spacing w:after="0"/>
        <w:jc w:val="both"/>
      </w:pPr>
      <w:r>
        <w:t>The benchmark log-log OLS regression models, which have the proportion of the car stock which is diesel fuelled as the dependent variable, are reported in Table Y.</w:t>
      </w:r>
    </w:p>
    <w:p w:rsidR="001550AC" w:rsidRDefault="001550AC" w:rsidP="00B352E4">
      <w:pPr>
        <w:spacing w:after="0"/>
        <w:jc w:val="both"/>
      </w:pPr>
    </w:p>
    <w:p w:rsidR="001550AC" w:rsidRDefault="001550AC" w:rsidP="00B352E4">
      <w:pPr>
        <w:spacing w:after="0"/>
        <w:jc w:val="both"/>
      </w:pPr>
    </w:p>
    <w:p w:rsidR="00E47650" w:rsidRDefault="00E47650" w:rsidP="00B352E4">
      <w:pPr>
        <w:spacing w:after="0"/>
        <w:jc w:val="both"/>
      </w:pPr>
    </w:p>
    <w:tbl>
      <w:tblPr>
        <w:tblpPr w:leftFromText="180" w:rightFromText="180" w:vertAnchor="text" w:tblpXSpec="center" w:tblpY="1"/>
        <w:tblOverlap w:val="never"/>
        <w:tblW w:w="8878" w:type="dxa"/>
        <w:tblLayout w:type="fixed"/>
        <w:tblLook w:val="04A0" w:firstRow="1" w:lastRow="0" w:firstColumn="1" w:lastColumn="0" w:noHBand="0" w:noVBand="1"/>
      </w:tblPr>
      <w:tblGrid>
        <w:gridCol w:w="2674"/>
        <w:gridCol w:w="1360"/>
        <w:gridCol w:w="1211"/>
        <w:gridCol w:w="1211"/>
        <w:gridCol w:w="1211"/>
        <w:gridCol w:w="1211"/>
      </w:tblGrid>
      <w:tr w:rsidR="009A51F5" w:rsidRPr="00B54BFA" w:rsidTr="00B54BFA">
        <w:trPr>
          <w:trHeight w:val="167"/>
        </w:trPr>
        <w:tc>
          <w:tcPr>
            <w:tcW w:w="8878" w:type="dxa"/>
            <w:gridSpan w:val="6"/>
            <w:tcBorders>
              <w:top w:val="nil"/>
              <w:left w:val="nil"/>
              <w:bottom w:val="nil"/>
              <w:right w:val="nil"/>
            </w:tcBorders>
            <w:shd w:val="clear" w:color="auto" w:fill="auto"/>
            <w:noWrap/>
            <w:vAlign w:val="center"/>
          </w:tcPr>
          <w:p w:rsidR="009A51F5" w:rsidRPr="00B54BFA" w:rsidRDefault="009A51F5" w:rsidP="009A51F5">
            <w:pPr>
              <w:spacing w:after="0" w:line="240" w:lineRule="auto"/>
              <w:jc w:val="both"/>
              <w:rPr>
                <w:rFonts w:eastAsia="Times New Roman" w:cs="Arial"/>
                <w:color w:val="000000"/>
                <w:lang w:eastAsia="en-GB"/>
              </w:rPr>
            </w:pPr>
            <w:r w:rsidRPr="00B54BFA">
              <w:rPr>
                <w:rFonts w:eastAsia="Times New Roman" w:cs="Arial"/>
                <w:b/>
                <w:color w:val="000000"/>
                <w:highlight w:val="yellow"/>
                <w:lang w:eastAsia="en-GB"/>
              </w:rPr>
              <w:lastRenderedPageBreak/>
              <w:t>Table Y:</w:t>
            </w:r>
            <w:r w:rsidRPr="00B54BFA">
              <w:rPr>
                <w:rFonts w:eastAsia="Times New Roman" w:cs="Arial"/>
                <w:b/>
                <w:color w:val="000000"/>
                <w:lang w:eastAsia="en-GB"/>
              </w:rPr>
              <w:t xml:space="preserve"> </w:t>
            </w:r>
            <w:r w:rsidRPr="00B54BFA">
              <w:rPr>
                <w:rFonts w:eastAsia="Times New Roman" w:cs="Arial"/>
                <w:color w:val="000000"/>
                <w:lang w:eastAsia="en-GB"/>
              </w:rPr>
              <w:t>Results of the benchmark log-log OLS regression models with the proportion of the car fleet that is diesel fuelled as the dependent variable</w:t>
            </w:r>
          </w:p>
        </w:tc>
      </w:tr>
      <w:tr w:rsidR="00B54BFA" w:rsidRPr="00B54BFA" w:rsidTr="00411D3E">
        <w:trPr>
          <w:trHeight w:val="167"/>
        </w:trPr>
        <w:tc>
          <w:tcPr>
            <w:tcW w:w="2674" w:type="dxa"/>
            <w:tcBorders>
              <w:top w:val="single" w:sz="4" w:space="0" w:color="auto"/>
              <w:left w:val="nil"/>
              <w:bottom w:val="nil"/>
              <w:right w:val="nil"/>
            </w:tcBorders>
            <w:shd w:val="clear" w:color="auto" w:fill="auto"/>
            <w:noWrap/>
            <w:vAlign w:val="bottom"/>
          </w:tcPr>
          <w:p w:rsidR="009A51F5" w:rsidRPr="00B54BFA" w:rsidRDefault="009A51F5" w:rsidP="00FC1CE8">
            <w:pPr>
              <w:spacing w:after="0" w:line="240" w:lineRule="auto"/>
              <w:rPr>
                <w:rFonts w:eastAsia="Times New Roman" w:cs="Times New Roman"/>
                <w:lang w:eastAsia="en-GB"/>
              </w:rPr>
            </w:pPr>
          </w:p>
        </w:tc>
        <w:tc>
          <w:tcPr>
            <w:tcW w:w="1360" w:type="dxa"/>
            <w:tcBorders>
              <w:top w:val="single" w:sz="4" w:space="0" w:color="auto"/>
              <w:left w:val="nil"/>
              <w:bottom w:val="single" w:sz="4" w:space="0" w:color="auto"/>
              <w:right w:val="nil"/>
            </w:tcBorders>
            <w:shd w:val="clear" w:color="auto" w:fill="auto"/>
            <w:noWrap/>
            <w:vAlign w:val="bottom"/>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M1</w:t>
            </w:r>
          </w:p>
        </w:tc>
        <w:tc>
          <w:tcPr>
            <w:tcW w:w="1211" w:type="dxa"/>
            <w:tcBorders>
              <w:top w:val="single" w:sz="4" w:space="0" w:color="auto"/>
              <w:left w:val="nil"/>
              <w:bottom w:val="single" w:sz="4" w:space="0" w:color="auto"/>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w:t>
            </w:r>
            <w:r w:rsidRPr="00B54BFA">
              <w:rPr>
                <w:rFonts w:eastAsia="Times New Roman" w:cs="Arial"/>
                <w:b/>
                <w:color w:val="000000"/>
                <w:lang w:eastAsia="en-GB"/>
              </w:rPr>
              <w:t>2</w:t>
            </w:r>
          </w:p>
        </w:tc>
        <w:tc>
          <w:tcPr>
            <w:tcW w:w="1211" w:type="dxa"/>
            <w:tcBorders>
              <w:top w:val="single" w:sz="4" w:space="0" w:color="auto"/>
              <w:left w:val="nil"/>
              <w:bottom w:val="single" w:sz="4" w:space="0" w:color="auto"/>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w:t>
            </w:r>
            <w:r w:rsidRPr="00B54BFA">
              <w:rPr>
                <w:rFonts w:eastAsia="Times New Roman" w:cs="Arial"/>
                <w:b/>
                <w:color w:val="000000"/>
                <w:lang w:eastAsia="en-GB"/>
              </w:rPr>
              <w:t>3</w:t>
            </w:r>
          </w:p>
        </w:tc>
        <w:tc>
          <w:tcPr>
            <w:tcW w:w="1211" w:type="dxa"/>
            <w:tcBorders>
              <w:top w:val="single" w:sz="4" w:space="0" w:color="auto"/>
              <w:left w:val="nil"/>
              <w:bottom w:val="single" w:sz="4" w:space="0" w:color="auto"/>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w:t>
            </w:r>
            <w:r w:rsidRPr="00B54BFA">
              <w:rPr>
                <w:rFonts w:eastAsia="Times New Roman" w:cs="Arial"/>
                <w:b/>
                <w:color w:val="000000"/>
                <w:lang w:eastAsia="en-GB"/>
              </w:rPr>
              <w:t>4</w:t>
            </w:r>
          </w:p>
        </w:tc>
        <w:tc>
          <w:tcPr>
            <w:tcW w:w="1211" w:type="dxa"/>
            <w:tcBorders>
              <w:top w:val="single" w:sz="4" w:space="0" w:color="auto"/>
              <w:left w:val="nil"/>
              <w:bottom w:val="single" w:sz="4" w:space="0" w:color="auto"/>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M5</w:t>
            </w:r>
          </w:p>
        </w:tc>
      </w:tr>
      <w:tr w:rsidR="00B54BFA" w:rsidRPr="00B54BFA" w:rsidTr="00411D3E">
        <w:trPr>
          <w:trHeight w:val="167"/>
        </w:trPr>
        <w:tc>
          <w:tcPr>
            <w:tcW w:w="2674" w:type="dxa"/>
            <w:tcBorders>
              <w:top w:val="nil"/>
              <w:left w:val="nil"/>
              <w:bottom w:val="single" w:sz="4" w:space="0" w:color="auto"/>
              <w:right w:val="nil"/>
            </w:tcBorders>
            <w:shd w:val="clear" w:color="auto" w:fill="auto"/>
            <w:noWrap/>
            <w:vAlign w:val="bottom"/>
            <w:hideMark/>
          </w:tcPr>
          <w:p w:rsidR="00E47650" w:rsidRPr="00B54BFA" w:rsidRDefault="00E47650" w:rsidP="00FC1CE8">
            <w:pPr>
              <w:spacing w:after="0" w:line="240" w:lineRule="auto"/>
              <w:rPr>
                <w:rFonts w:eastAsia="Times New Roman" w:cs="Times New Roman"/>
                <w:lang w:eastAsia="en-GB"/>
              </w:rPr>
            </w:pPr>
          </w:p>
        </w:tc>
        <w:tc>
          <w:tcPr>
            <w:tcW w:w="1360" w:type="dxa"/>
            <w:tcBorders>
              <w:top w:val="single" w:sz="4" w:space="0" w:color="auto"/>
              <w:left w:val="nil"/>
              <w:bottom w:val="single" w:sz="4" w:space="0" w:color="auto"/>
              <w:right w:val="nil"/>
            </w:tcBorders>
            <w:shd w:val="clear" w:color="auto" w:fill="auto"/>
            <w:noWrap/>
            <w:vAlign w:val="bottom"/>
            <w:hideMark/>
          </w:tcPr>
          <w:p w:rsidR="00E47650"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Beta</w:t>
            </w:r>
          </w:p>
          <w:p w:rsidR="009A51F5" w:rsidRPr="00B54BFA" w:rsidRDefault="009A51F5" w:rsidP="009A51F5">
            <w:pPr>
              <w:spacing w:after="0" w:line="240" w:lineRule="auto"/>
              <w:jc w:val="center"/>
              <w:rPr>
                <w:rFonts w:eastAsia="Times New Roman" w:cs="Arial"/>
                <w:color w:val="000000"/>
                <w:lang w:eastAsia="en-GB"/>
              </w:rPr>
            </w:pPr>
            <w:r w:rsidRPr="00B54BFA">
              <w:rPr>
                <w:rFonts w:eastAsia="Times New Roman" w:cs="Arial"/>
                <w:b/>
                <w:color w:val="000000"/>
                <w:lang w:eastAsia="en-GB"/>
              </w:rPr>
              <w:t>(St. Err.)</w:t>
            </w:r>
          </w:p>
        </w:tc>
        <w:tc>
          <w:tcPr>
            <w:tcW w:w="1211" w:type="dxa"/>
            <w:tcBorders>
              <w:top w:val="single" w:sz="4" w:space="0" w:color="auto"/>
              <w:left w:val="nil"/>
              <w:bottom w:val="single" w:sz="4" w:space="0" w:color="auto"/>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Beta</w:t>
            </w:r>
          </w:p>
          <w:p w:rsidR="00E47650" w:rsidRPr="00B54BFA" w:rsidRDefault="009A51F5" w:rsidP="009A51F5">
            <w:pPr>
              <w:spacing w:after="0" w:line="240" w:lineRule="auto"/>
              <w:rPr>
                <w:rFonts w:eastAsia="Times New Roman" w:cs="Arial"/>
                <w:color w:val="000000"/>
                <w:lang w:eastAsia="en-GB"/>
              </w:rPr>
            </w:pPr>
            <w:r w:rsidRPr="00B54BFA">
              <w:rPr>
                <w:rFonts w:eastAsia="Times New Roman" w:cs="Arial"/>
                <w:b/>
                <w:color w:val="000000"/>
                <w:lang w:eastAsia="en-GB"/>
              </w:rPr>
              <w:t>(St. Err.)</w:t>
            </w:r>
          </w:p>
        </w:tc>
        <w:tc>
          <w:tcPr>
            <w:tcW w:w="1211" w:type="dxa"/>
            <w:tcBorders>
              <w:top w:val="single" w:sz="4" w:space="0" w:color="auto"/>
              <w:left w:val="nil"/>
              <w:bottom w:val="single" w:sz="4" w:space="0" w:color="auto"/>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Beta</w:t>
            </w:r>
          </w:p>
          <w:p w:rsidR="00E47650" w:rsidRPr="00B54BFA" w:rsidRDefault="009A51F5" w:rsidP="009A51F5">
            <w:pPr>
              <w:spacing w:after="0" w:line="240" w:lineRule="auto"/>
              <w:rPr>
                <w:rFonts w:eastAsia="Times New Roman" w:cs="Arial"/>
                <w:color w:val="000000"/>
                <w:lang w:eastAsia="en-GB"/>
              </w:rPr>
            </w:pPr>
            <w:r w:rsidRPr="00B54BFA">
              <w:rPr>
                <w:rFonts w:eastAsia="Times New Roman" w:cs="Arial"/>
                <w:b/>
                <w:color w:val="000000"/>
                <w:lang w:eastAsia="en-GB"/>
              </w:rPr>
              <w:t>(St. Err.)</w:t>
            </w:r>
          </w:p>
        </w:tc>
        <w:tc>
          <w:tcPr>
            <w:tcW w:w="1211" w:type="dxa"/>
            <w:tcBorders>
              <w:top w:val="single" w:sz="4" w:space="0" w:color="auto"/>
              <w:left w:val="nil"/>
              <w:bottom w:val="single" w:sz="4" w:space="0" w:color="auto"/>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Beta</w:t>
            </w:r>
          </w:p>
          <w:p w:rsidR="00E47650" w:rsidRPr="00B54BFA" w:rsidRDefault="009A51F5" w:rsidP="009A51F5">
            <w:pPr>
              <w:spacing w:after="0" w:line="240" w:lineRule="auto"/>
              <w:rPr>
                <w:rFonts w:eastAsia="Times New Roman" w:cs="Arial"/>
                <w:color w:val="000000"/>
                <w:lang w:eastAsia="en-GB"/>
              </w:rPr>
            </w:pPr>
            <w:r w:rsidRPr="00B54BFA">
              <w:rPr>
                <w:rFonts w:eastAsia="Times New Roman" w:cs="Arial"/>
                <w:b/>
                <w:color w:val="000000"/>
                <w:lang w:eastAsia="en-GB"/>
              </w:rPr>
              <w:t>(St. Err.)</w:t>
            </w:r>
          </w:p>
        </w:tc>
        <w:tc>
          <w:tcPr>
            <w:tcW w:w="1211" w:type="dxa"/>
            <w:tcBorders>
              <w:top w:val="single" w:sz="4" w:space="0" w:color="auto"/>
              <w:left w:val="nil"/>
              <w:bottom w:val="single" w:sz="4" w:space="0" w:color="auto"/>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Beta</w:t>
            </w:r>
          </w:p>
          <w:p w:rsidR="00E47650" w:rsidRPr="00B54BFA" w:rsidRDefault="009A51F5" w:rsidP="009A51F5">
            <w:pPr>
              <w:spacing w:after="0" w:line="240" w:lineRule="auto"/>
              <w:rPr>
                <w:rFonts w:eastAsia="Times New Roman" w:cs="Arial"/>
                <w:color w:val="000000"/>
                <w:lang w:eastAsia="en-GB"/>
              </w:rPr>
            </w:pPr>
            <w:r w:rsidRPr="00B54BFA">
              <w:rPr>
                <w:rFonts w:eastAsia="Times New Roman" w:cs="Arial"/>
                <w:b/>
                <w:color w:val="000000"/>
                <w:lang w:eastAsia="en-GB"/>
              </w:rPr>
              <w:t>(St. Err.)</w:t>
            </w:r>
          </w:p>
        </w:tc>
      </w:tr>
      <w:tr w:rsidR="00B54BFA" w:rsidRPr="00B54BFA" w:rsidTr="00411D3E">
        <w:trPr>
          <w:trHeight w:val="167"/>
        </w:trPr>
        <w:tc>
          <w:tcPr>
            <w:tcW w:w="2674" w:type="dxa"/>
            <w:tcBorders>
              <w:top w:val="single" w:sz="4" w:space="0" w:color="auto"/>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Intercept</w:t>
            </w:r>
          </w:p>
        </w:tc>
        <w:tc>
          <w:tcPr>
            <w:tcW w:w="1360" w:type="dxa"/>
            <w:tcBorders>
              <w:top w:val="single" w:sz="4" w:space="0" w:color="auto"/>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4.293**</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(0.342)</w:t>
            </w:r>
          </w:p>
        </w:tc>
        <w:tc>
          <w:tcPr>
            <w:tcW w:w="1211" w:type="dxa"/>
            <w:tcBorders>
              <w:top w:val="single" w:sz="4" w:space="0" w:color="auto"/>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4.580**</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(0.275)</w:t>
            </w:r>
          </w:p>
        </w:tc>
        <w:tc>
          <w:tcPr>
            <w:tcW w:w="1211" w:type="dxa"/>
            <w:tcBorders>
              <w:top w:val="single" w:sz="4" w:space="0" w:color="auto"/>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6.007**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(0.276)</w:t>
            </w:r>
          </w:p>
        </w:tc>
        <w:tc>
          <w:tcPr>
            <w:tcW w:w="1211" w:type="dxa"/>
            <w:tcBorders>
              <w:top w:val="single" w:sz="4" w:space="0" w:color="auto"/>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6.277**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(0.277)</w:t>
            </w:r>
          </w:p>
        </w:tc>
        <w:tc>
          <w:tcPr>
            <w:tcW w:w="1211" w:type="dxa"/>
            <w:tcBorders>
              <w:top w:val="single" w:sz="4" w:space="0" w:color="auto"/>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5.259**</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(0.272)</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Socioeconomics</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Mean Age</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-0.147*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(0.072)</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-0.172**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(0.058)</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-0.180**</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(0.056)</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-0.187**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(0.056)</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-0.170**</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(0.057)</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Self Employed</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0.047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(0.024)</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0.054**</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(0.020)</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0.070**</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0.085**</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0.081**</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University Degree</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-0.094**</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-0.087**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-0.101**</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-0.116**</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-0.126**</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Travel</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One Car</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-0.062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(0.039)</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-0.125**</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(0.032)</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-0.134**</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-0.122**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(0.030)</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-0.115**</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Drive Commute</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-0.164**</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(0.039)</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-0.110**</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(0.032)</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-0.118**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-0.118**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(0.030)</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-0.112**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Over 30km Commute</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0.189**</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0.163**</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0.147**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0.152**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0.167**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Household</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Population Density</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-0.048**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-0.040**</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-0.046**</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-0.048**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-0.047**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Mean Residents</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0.928**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(0.082)</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0.698**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(0.067)</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0.592**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(0.065)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0.599**</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(0.065)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0.617**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(0.066)</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Rent Social</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0.028**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Flats</w:t>
            </w:r>
          </w:p>
        </w:tc>
        <w:tc>
          <w:tcPr>
            <w:tcW w:w="1360" w:type="dxa"/>
            <w:tcBorders>
              <w:top w:val="nil"/>
              <w:left w:val="nil"/>
              <w:bottom w:val="nil"/>
              <w:right w:val="nil"/>
            </w:tcBorders>
            <w:shd w:val="clear" w:color="auto" w:fill="auto"/>
            <w:noWrap/>
            <w:vAlign w:val="bottom"/>
            <w:hideMark/>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0.009*</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0.010**</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r>
      <w:tr w:rsidR="00411D3E" w:rsidRPr="00B54BFA" w:rsidTr="00411D3E">
        <w:trPr>
          <w:trHeight w:val="167"/>
        </w:trPr>
        <w:tc>
          <w:tcPr>
            <w:tcW w:w="2674" w:type="dxa"/>
            <w:tcBorders>
              <w:top w:val="nil"/>
              <w:left w:val="nil"/>
              <w:bottom w:val="nil"/>
              <w:right w:val="nil"/>
            </w:tcBorders>
            <w:shd w:val="clear" w:color="auto" w:fill="auto"/>
            <w:noWrap/>
          </w:tcPr>
          <w:p w:rsidR="00411D3E" w:rsidRPr="00B54BFA" w:rsidRDefault="00411D3E" w:rsidP="00411D3E">
            <w:pPr>
              <w:spacing w:after="0" w:line="240" w:lineRule="auto"/>
              <w:ind w:left="720"/>
              <w:rPr>
                <w:rFonts w:eastAsia="Times New Roman" w:cs="Arial"/>
                <w:color w:val="000000"/>
                <w:lang w:eastAsia="en-GB"/>
              </w:rPr>
            </w:pPr>
            <w:r w:rsidRPr="00B54BFA">
              <w:rPr>
                <w:rFonts w:eastAsia="Times New Roman" w:cs="Arial"/>
                <w:i/>
                <w:color w:val="000000"/>
                <w:lang w:eastAsia="en-GB"/>
              </w:rPr>
              <w:t>Nearness to Border</w:t>
            </w:r>
          </w:p>
        </w:tc>
        <w:tc>
          <w:tcPr>
            <w:tcW w:w="1360" w:type="dxa"/>
            <w:tcBorders>
              <w:top w:val="nil"/>
              <w:left w:val="nil"/>
              <w:bottom w:val="nil"/>
              <w:right w:val="nil"/>
            </w:tcBorders>
            <w:shd w:val="clear" w:color="auto" w:fill="auto"/>
            <w:noWrap/>
            <w:vAlign w:val="bottom"/>
          </w:tcPr>
          <w:p w:rsidR="00411D3E" w:rsidRPr="00B54BFA" w:rsidRDefault="00411D3E"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5km Buffer</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0.241**</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(0.013)</w:t>
            </w: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10km Buffer</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0.232**</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15km Buffer</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0.231**</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(0.022)</w:t>
            </w: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20km Buffer</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0.163**</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(0.021)</w:t>
            </w: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Distance to Crossing</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-0.107**</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Network Distance to Fuel</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-0.128**</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FC1CE8">
            <w:pPr>
              <w:spacing w:after="0" w:line="240" w:lineRule="auto"/>
              <w:rPr>
                <w:rFonts w:eastAsia="Times New Roman" w:cs="Arial"/>
                <w:color w:val="000000"/>
                <w:lang w:eastAsia="en-GB"/>
              </w:rPr>
            </w:pPr>
            <w:r w:rsidRPr="00B54BFA">
              <w:rPr>
                <w:rFonts w:eastAsia="Times New Roman" w:cs="Arial"/>
                <w:color w:val="000000"/>
                <w:lang w:eastAsia="en-GB"/>
              </w:rPr>
              <w:t>Network Time to Fuel</w:t>
            </w:r>
          </w:p>
        </w:tc>
        <w:tc>
          <w:tcPr>
            <w:tcW w:w="1360" w:type="dxa"/>
            <w:tcBorders>
              <w:top w:val="nil"/>
              <w:left w:val="nil"/>
              <w:bottom w:val="nil"/>
              <w:right w:val="nil"/>
            </w:tcBorders>
            <w:shd w:val="clear" w:color="auto" w:fill="auto"/>
            <w:noWrap/>
            <w:vAlign w:val="bottom"/>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-0.135**</w:t>
            </w:r>
          </w:p>
          <w:p w:rsidR="00E47650" w:rsidRPr="00B54BFA" w:rsidRDefault="00E47650"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Model Fit</w:t>
            </w:r>
          </w:p>
        </w:tc>
        <w:tc>
          <w:tcPr>
            <w:tcW w:w="1360" w:type="dxa"/>
            <w:tcBorders>
              <w:top w:val="nil"/>
              <w:left w:val="nil"/>
              <w:bottom w:val="nil"/>
              <w:right w:val="nil"/>
            </w:tcBorders>
            <w:shd w:val="clear" w:color="auto" w:fill="auto"/>
            <w:noWrap/>
            <w:vAlign w:val="bottom"/>
          </w:tcPr>
          <w:p w:rsidR="009A51F5" w:rsidRPr="00B54BFA" w:rsidRDefault="009A51F5"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FC1CE8">
            <w:pPr>
              <w:spacing w:after="0" w:line="240" w:lineRule="auto"/>
              <w:rPr>
                <w:rFonts w:eastAsia="Times New Roman" w:cs="Arial"/>
                <w:color w:val="000000"/>
                <w:lang w:eastAsia="en-GB"/>
              </w:rPr>
            </w:pPr>
            <w:r w:rsidRPr="00B54BFA">
              <w:rPr>
                <w:rFonts w:eastAsia="Times New Roman" w:cs="Arial"/>
                <w:color w:val="000000"/>
                <w:lang w:eastAsia="en-GB"/>
              </w:rPr>
              <w:t>R</w:t>
            </w:r>
            <w:r w:rsidRPr="00B54BFA">
              <w:rPr>
                <w:rFonts w:eastAsia="Times New Roman" w:cs="Arial"/>
                <w:color w:val="000000"/>
                <w:vertAlign w:val="superscript"/>
                <w:lang w:eastAsia="en-GB"/>
              </w:rPr>
              <w:t>2</w:t>
            </w:r>
          </w:p>
        </w:tc>
        <w:tc>
          <w:tcPr>
            <w:tcW w:w="1360" w:type="dxa"/>
            <w:tcBorders>
              <w:top w:val="nil"/>
              <w:left w:val="nil"/>
              <w:bottom w:val="nil"/>
              <w:right w:val="nil"/>
            </w:tcBorders>
            <w:shd w:val="clear" w:color="auto" w:fill="auto"/>
            <w:noWrap/>
            <w:vAlign w:val="bottom"/>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0.784</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0.862</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0.869</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0.871</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0.867</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FC1CE8">
            <w:pPr>
              <w:spacing w:after="0" w:line="240" w:lineRule="auto"/>
              <w:rPr>
                <w:rFonts w:eastAsia="Times New Roman" w:cs="Arial"/>
                <w:color w:val="000000"/>
                <w:lang w:eastAsia="en-GB"/>
              </w:rPr>
            </w:pPr>
            <w:r w:rsidRPr="00B54BFA">
              <w:rPr>
                <w:rFonts w:eastAsia="Times New Roman" w:cs="Arial"/>
                <w:color w:val="000000"/>
                <w:lang w:eastAsia="en-GB"/>
              </w:rPr>
              <w:t>Log Likelihood</w:t>
            </w:r>
          </w:p>
        </w:tc>
        <w:tc>
          <w:tcPr>
            <w:tcW w:w="1360" w:type="dxa"/>
            <w:tcBorders>
              <w:top w:val="nil"/>
              <w:left w:val="nil"/>
              <w:bottom w:val="nil"/>
              <w:right w:val="nil"/>
            </w:tcBorders>
            <w:shd w:val="clear" w:color="auto" w:fill="auto"/>
            <w:noWrap/>
            <w:vAlign w:val="bottom"/>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448.701</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648.562</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670.487</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678.105</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663.179</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FC1CE8">
            <w:pPr>
              <w:spacing w:after="0" w:line="240" w:lineRule="auto"/>
              <w:rPr>
                <w:rFonts w:eastAsia="Times New Roman" w:cs="Arial"/>
                <w:color w:val="000000"/>
                <w:lang w:eastAsia="en-GB"/>
              </w:rPr>
            </w:pPr>
            <w:r w:rsidRPr="00B54BFA">
              <w:rPr>
                <w:rFonts w:eastAsia="Times New Roman" w:cs="Arial"/>
                <w:color w:val="000000"/>
                <w:lang w:eastAsia="en-GB"/>
              </w:rPr>
              <w:t>AIC</w:t>
            </w:r>
          </w:p>
        </w:tc>
        <w:tc>
          <w:tcPr>
            <w:tcW w:w="1360" w:type="dxa"/>
            <w:tcBorders>
              <w:top w:val="nil"/>
              <w:left w:val="nil"/>
              <w:bottom w:val="nil"/>
              <w:right w:val="nil"/>
            </w:tcBorders>
            <w:shd w:val="clear" w:color="auto" w:fill="auto"/>
            <w:noWrap/>
            <w:vAlign w:val="bottom"/>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-875.403</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-1267.12</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-1316.97</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-1332.21</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-1302.36</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Spatial Diagnostics</w:t>
            </w:r>
          </w:p>
        </w:tc>
        <w:tc>
          <w:tcPr>
            <w:tcW w:w="1360" w:type="dxa"/>
            <w:tcBorders>
              <w:top w:val="nil"/>
              <w:left w:val="nil"/>
              <w:bottom w:val="nil"/>
              <w:right w:val="nil"/>
            </w:tcBorders>
            <w:shd w:val="clear" w:color="auto" w:fill="auto"/>
            <w:noWrap/>
            <w:vAlign w:val="bottom"/>
          </w:tcPr>
          <w:p w:rsidR="009A51F5" w:rsidRPr="00B54BFA" w:rsidRDefault="009A51F5"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FC1CE8">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FC1CE8">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FC1CE8">
            <w:pPr>
              <w:spacing w:after="0" w:line="240" w:lineRule="auto"/>
              <w:rPr>
                <w:rFonts w:eastAsia="Times New Roman" w:cs="Arial"/>
                <w:color w:val="000000"/>
                <w:lang w:eastAsia="en-GB"/>
              </w:rPr>
            </w:pPr>
            <w:r w:rsidRPr="00B54BFA">
              <w:rPr>
                <w:rFonts w:eastAsia="Times New Roman" w:cs="Arial"/>
                <w:color w:val="000000"/>
                <w:lang w:eastAsia="en-GB"/>
              </w:rPr>
              <w:t>Robust LM (lag)</w:t>
            </w:r>
          </w:p>
        </w:tc>
        <w:tc>
          <w:tcPr>
            <w:tcW w:w="1360" w:type="dxa"/>
            <w:tcBorders>
              <w:top w:val="nil"/>
              <w:left w:val="nil"/>
              <w:bottom w:val="nil"/>
              <w:right w:val="nil"/>
            </w:tcBorders>
            <w:shd w:val="clear" w:color="auto" w:fill="auto"/>
            <w:noWrap/>
            <w:vAlign w:val="bottom"/>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17.355**</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9.132**</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5.673**</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5.549**</w:t>
            </w:r>
          </w:p>
        </w:tc>
        <w:tc>
          <w:tcPr>
            <w:tcW w:w="1211" w:type="dxa"/>
            <w:tcBorders>
              <w:top w:val="nil"/>
              <w:left w:val="nil"/>
              <w:bottom w:val="nil"/>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5.718*</w:t>
            </w:r>
          </w:p>
        </w:tc>
      </w:tr>
      <w:tr w:rsidR="00B54BFA" w:rsidRPr="00B54BFA" w:rsidTr="00411D3E">
        <w:trPr>
          <w:trHeight w:val="167"/>
        </w:trPr>
        <w:tc>
          <w:tcPr>
            <w:tcW w:w="2674" w:type="dxa"/>
            <w:tcBorders>
              <w:top w:val="nil"/>
              <w:left w:val="nil"/>
              <w:bottom w:val="single" w:sz="4" w:space="0" w:color="auto"/>
              <w:right w:val="nil"/>
            </w:tcBorders>
            <w:shd w:val="clear" w:color="auto" w:fill="auto"/>
            <w:noWrap/>
          </w:tcPr>
          <w:p w:rsidR="009A51F5" w:rsidRPr="00B54BFA" w:rsidRDefault="009A51F5" w:rsidP="00FC1CE8">
            <w:pPr>
              <w:spacing w:after="0" w:line="240" w:lineRule="auto"/>
              <w:rPr>
                <w:rFonts w:eastAsia="Times New Roman" w:cs="Arial"/>
                <w:color w:val="000000"/>
                <w:lang w:eastAsia="en-GB"/>
              </w:rPr>
            </w:pPr>
            <w:r w:rsidRPr="00B54BFA">
              <w:rPr>
                <w:rFonts w:eastAsia="Times New Roman" w:cs="Arial"/>
                <w:color w:val="000000"/>
                <w:lang w:eastAsia="en-GB"/>
              </w:rPr>
              <w:lastRenderedPageBreak/>
              <w:t>Robust LM (error)</w:t>
            </w:r>
          </w:p>
        </w:tc>
        <w:tc>
          <w:tcPr>
            <w:tcW w:w="1360" w:type="dxa"/>
            <w:tcBorders>
              <w:top w:val="nil"/>
              <w:left w:val="nil"/>
              <w:bottom w:val="single" w:sz="4" w:space="0" w:color="auto"/>
              <w:right w:val="nil"/>
            </w:tcBorders>
            <w:shd w:val="clear" w:color="auto" w:fill="auto"/>
            <w:noWrap/>
            <w:vAlign w:val="bottom"/>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761.4268**</w:t>
            </w:r>
          </w:p>
        </w:tc>
        <w:tc>
          <w:tcPr>
            <w:tcW w:w="1211" w:type="dxa"/>
            <w:tcBorders>
              <w:top w:val="nil"/>
              <w:left w:val="nil"/>
              <w:bottom w:val="single" w:sz="4" w:space="0" w:color="auto"/>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501.963**</w:t>
            </w:r>
          </w:p>
        </w:tc>
        <w:tc>
          <w:tcPr>
            <w:tcW w:w="1211" w:type="dxa"/>
            <w:tcBorders>
              <w:top w:val="nil"/>
              <w:left w:val="nil"/>
              <w:bottom w:val="single" w:sz="4" w:space="0" w:color="auto"/>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524.648**</w:t>
            </w:r>
          </w:p>
        </w:tc>
        <w:tc>
          <w:tcPr>
            <w:tcW w:w="1211" w:type="dxa"/>
            <w:tcBorders>
              <w:top w:val="nil"/>
              <w:left w:val="nil"/>
              <w:bottom w:val="single" w:sz="4" w:space="0" w:color="auto"/>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514.523**</w:t>
            </w:r>
          </w:p>
        </w:tc>
        <w:tc>
          <w:tcPr>
            <w:tcW w:w="1211" w:type="dxa"/>
            <w:tcBorders>
              <w:top w:val="nil"/>
              <w:left w:val="nil"/>
              <w:bottom w:val="single" w:sz="4" w:space="0" w:color="auto"/>
              <w:right w:val="nil"/>
            </w:tcBorders>
          </w:tcPr>
          <w:p w:rsidR="009A51F5" w:rsidRPr="00B54BFA" w:rsidRDefault="00E635A1" w:rsidP="00FC1CE8">
            <w:pPr>
              <w:spacing w:after="0" w:line="240" w:lineRule="auto"/>
              <w:jc w:val="right"/>
              <w:rPr>
                <w:rFonts w:eastAsia="Times New Roman" w:cs="Arial"/>
                <w:color w:val="000000"/>
                <w:lang w:eastAsia="en-GB"/>
              </w:rPr>
            </w:pPr>
            <w:r w:rsidRPr="00B54BFA">
              <w:rPr>
                <w:rFonts w:eastAsia="Times New Roman" w:cs="Arial"/>
                <w:color w:val="000000"/>
                <w:lang w:eastAsia="en-GB"/>
              </w:rPr>
              <w:t>496.497**</w:t>
            </w:r>
          </w:p>
        </w:tc>
      </w:tr>
      <w:tr w:rsidR="009A51F5" w:rsidRPr="00B54BFA" w:rsidTr="00B54BFA">
        <w:trPr>
          <w:trHeight w:val="167"/>
        </w:trPr>
        <w:tc>
          <w:tcPr>
            <w:tcW w:w="8878" w:type="dxa"/>
            <w:gridSpan w:val="6"/>
            <w:tcBorders>
              <w:top w:val="single" w:sz="4" w:space="0" w:color="auto"/>
              <w:left w:val="nil"/>
              <w:bottom w:val="nil"/>
              <w:right w:val="nil"/>
            </w:tcBorders>
            <w:shd w:val="clear" w:color="auto" w:fill="auto"/>
            <w:noWrap/>
          </w:tcPr>
          <w:p w:rsidR="009A51F5" w:rsidRPr="00B54BFA" w:rsidRDefault="009A51F5" w:rsidP="00FC1CE8">
            <w:pPr>
              <w:spacing w:after="0" w:line="240" w:lineRule="auto"/>
              <w:jc w:val="right"/>
              <w:rPr>
                <w:rFonts w:eastAsia="Times New Roman" w:cs="Arial"/>
                <w:color w:val="000000"/>
                <w:lang w:eastAsia="en-GB"/>
              </w:rPr>
            </w:pPr>
          </w:p>
        </w:tc>
      </w:tr>
    </w:tbl>
    <w:p w:rsidR="00E47650" w:rsidRDefault="00E47650" w:rsidP="00B352E4">
      <w:pPr>
        <w:spacing w:after="0"/>
        <w:jc w:val="both"/>
      </w:pPr>
    </w:p>
    <w:p w:rsidR="00BB57D8" w:rsidRDefault="00BB57D8" w:rsidP="00B352E4">
      <w:pPr>
        <w:spacing w:after="0"/>
        <w:jc w:val="both"/>
      </w:pPr>
    </w:p>
    <w:p w:rsidR="00BB57D8" w:rsidRDefault="00BB57D8" w:rsidP="00B352E4">
      <w:pPr>
        <w:spacing w:after="0"/>
        <w:jc w:val="both"/>
      </w:pPr>
    </w:p>
    <w:tbl>
      <w:tblPr>
        <w:tblW w:w="7452" w:type="dxa"/>
        <w:jc w:val="center"/>
        <w:tblLook w:val="04A0" w:firstRow="1" w:lastRow="0" w:firstColumn="1" w:lastColumn="0" w:noHBand="0" w:noVBand="1"/>
      </w:tblPr>
      <w:tblGrid>
        <w:gridCol w:w="2870"/>
        <w:gridCol w:w="1229"/>
        <w:gridCol w:w="1193"/>
        <w:gridCol w:w="1087"/>
        <w:gridCol w:w="1073"/>
      </w:tblGrid>
      <w:tr w:rsidR="00BD020B" w:rsidRPr="00B54BFA" w:rsidTr="00411D3E">
        <w:trPr>
          <w:trHeight w:val="269"/>
          <w:jc w:val="center"/>
        </w:trPr>
        <w:tc>
          <w:tcPr>
            <w:tcW w:w="2870" w:type="dxa"/>
            <w:tcBorders>
              <w:top w:val="nil"/>
              <w:left w:val="nil"/>
              <w:bottom w:val="nil"/>
              <w:right w:val="nil"/>
            </w:tcBorders>
            <w:shd w:val="clear" w:color="auto" w:fill="auto"/>
            <w:noWrap/>
            <w:vAlign w:val="bottom"/>
            <w:hideMark/>
          </w:tcPr>
          <w:p w:rsidR="00BD020B" w:rsidRPr="00B54BFA" w:rsidRDefault="00BD020B" w:rsidP="00BD020B">
            <w:pPr>
              <w:spacing w:after="0" w:line="240" w:lineRule="auto"/>
              <w:rPr>
                <w:rFonts w:ascii="Times New Roman" w:eastAsia="Times New Roman" w:hAnsi="Times New Roman" w:cs="Times New Roman"/>
                <w:sz w:val="24"/>
                <w:szCs w:val="24"/>
                <w:lang w:eastAsia="en-GB"/>
              </w:rPr>
            </w:pPr>
          </w:p>
        </w:tc>
        <w:tc>
          <w:tcPr>
            <w:tcW w:w="1229" w:type="dxa"/>
            <w:tcBorders>
              <w:top w:val="nil"/>
              <w:left w:val="nil"/>
              <w:bottom w:val="nil"/>
              <w:right w:val="nil"/>
            </w:tcBorders>
            <w:shd w:val="clear" w:color="auto" w:fill="auto"/>
            <w:noWrap/>
            <w:vAlign w:val="bottom"/>
            <w:hideMark/>
          </w:tcPr>
          <w:p w:rsidR="00BD020B" w:rsidRPr="00B54BFA" w:rsidRDefault="00BD020B" w:rsidP="00BD020B">
            <w:pPr>
              <w:spacing w:after="0" w:line="240" w:lineRule="auto"/>
              <w:rPr>
                <w:rFonts w:ascii="Calibri" w:eastAsia="Times New Roman" w:hAnsi="Calibri" w:cs="Arial"/>
                <w:color w:val="000000"/>
                <w:lang w:eastAsia="en-GB"/>
              </w:rPr>
            </w:pPr>
            <w:r>
              <w:rPr>
                <w:rFonts w:ascii="Calibri" w:eastAsia="Times New Roman" w:hAnsi="Calibri" w:cs="Arial"/>
                <w:color w:val="000000"/>
                <w:lang w:eastAsia="en-GB"/>
              </w:rPr>
              <w:t>Beta</w:t>
            </w:r>
          </w:p>
        </w:tc>
        <w:tc>
          <w:tcPr>
            <w:tcW w:w="1193" w:type="dxa"/>
            <w:tcBorders>
              <w:top w:val="nil"/>
              <w:left w:val="nil"/>
              <w:bottom w:val="nil"/>
              <w:right w:val="nil"/>
            </w:tcBorders>
            <w:shd w:val="clear" w:color="auto" w:fill="auto"/>
            <w:noWrap/>
            <w:vAlign w:val="bottom"/>
            <w:hideMark/>
          </w:tcPr>
          <w:p w:rsidR="00BD020B" w:rsidRPr="00B54BFA" w:rsidRDefault="00BD020B" w:rsidP="00BD020B">
            <w:pPr>
              <w:spacing w:after="0" w:line="240" w:lineRule="auto"/>
              <w:rPr>
                <w:rFonts w:ascii="Calibri" w:eastAsia="Times New Roman" w:hAnsi="Calibri" w:cs="Arial"/>
                <w:color w:val="000000"/>
                <w:lang w:eastAsia="en-GB"/>
              </w:rPr>
            </w:pPr>
            <w:r>
              <w:rPr>
                <w:rFonts w:ascii="Calibri" w:eastAsia="Times New Roman" w:hAnsi="Calibri" w:cs="Arial"/>
                <w:color w:val="000000"/>
                <w:lang w:eastAsia="en-GB"/>
              </w:rPr>
              <w:t>Std. Err.</w:t>
            </w:r>
          </w:p>
        </w:tc>
        <w:tc>
          <w:tcPr>
            <w:tcW w:w="1087" w:type="dxa"/>
            <w:tcBorders>
              <w:top w:val="nil"/>
              <w:left w:val="nil"/>
              <w:bottom w:val="nil"/>
              <w:right w:val="nil"/>
            </w:tcBorders>
            <w:vAlign w:val="bottom"/>
          </w:tcPr>
          <w:p w:rsidR="00BD020B" w:rsidRPr="00B54BFA" w:rsidRDefault="00BD020B" w:rsidP="00BD020B">
            <w:pPr>
              <w:spacing w:after="0" w:line="240" w:lineRule="auto"/>
              <w:rPr>
                <w:rFonts w:ascii="Calibri" w:eastAsia="Times New Roman" w:hAnsi="Calibri" w:cs="Arial"/>
                <w:color w:val="000000"/>
                <w:lang w:eastAsia="en-GB"/>
              </w:rPr>
            </w:pPr>
            <w:r>
              <w:rPr>
                <w:rFonts w:ascii="Calibri" w:eastAsia="Times New Roman" w:hAnsi="Calibri" w:cs="Arial"/>
                <w:color w:val="000000"/>
                <w:lang w:eastAsia="en-GB"/>
              </w:rPr>
              <w:t>Beta</w:t>
            </w:r>
          </w:p>
        </w:tc>
        <w:tc>
          <w:tcPr>
            <w:tcW w:w="1073" w:type="dxa"/>
            <w:tcBorders>
              <w:top w:val="nil"/>
              <w:left w:val="nil"/>
              <w:bottom w:val="nil"/>
              <w:right w:val="nil"/>
            </w:tcBorders>
            <w:vAlign w:val="bottom"/>
          </w:tcPr>
          <w:p w:rsidR="00BD020B" w:rsidRPr="00B54BFA" w:rsidRDefault="00BD020B" w:rsidP="00BD020B">
            <w:pPr>
              <w:spacing w:after="0" w:line="240" w:lineRule="auto"/>
              <w:rPr>
                <w:rFonts w:ascii="Calibri" w:eastAsia="Times New Roman" w:hAnsi="Calibri" w:cs="Arial"/>
                <w:color w:val="000000"/>
                <w:lang w:eastAsia="en-GB"/>
              </w:rPr>
            </w:pPr>
            <w:r>
              <w:rPr>
                <w:rFonts w:ascii="Calibri" w:eastAsia="Times New Roman" w:hAnsi="Calibri" w:cs="Arial"/>
                <w:color w:val="000000"/>
                <w:lang w:eastAsia="en-GB"/>
              </w:rPr>
              <w:t>Std. Err.</w:t>
            </w:r>
          </w:p>
        </w:tc>
      </w:tr>
      <w:tr w:rsidR="00BD020B" w:rsidRPr="00B54BFA" w:rsidTr="00411D3E">
        <w:trPr>
          <w:trHeight w:val="269"/>
          <w:jc w:val="center"/>
        </w:trPr>
        <w:tc>
          <w:tcPr>
            <w:tcW w:w="2870" w:type="dxa"/>
            <w:tcBorders>
              <w:top w:val="nil"/>
              <w:left w:val="nil"/>
              <w:bottom w:val="nil"/>
              <w:right w:val="nil"/>
            </w:tcBorders>
            <w:shd w:val="clear" w:color="auto" w:fill="auto"/>
            <w:noWrap/>
            <w:vAlign w:val="bottom"/>
            <w:hideMark/>
          </w:tcPr>
          <w:p w:rsidR="00BD020B" w:rsidRPr="00B54BFA" w:rsidRDefault="00BD020B" w:rsidP="00BD020B">
            <w:pPr>
              <w:spacing w:after="0" w:line="240" w:lineRule="auto"/>
              <w:rPr>
                <w:rFonts w:ascii="Calibri" w:eastAsia="Times New Roman" w:hAnsi="Calibri" w:cs="Arial"/>
                <w:color w:val="000000"/>
                <w:lang w:eastAsia="en-GB"/>
              </w:rPr>
            </w:pPr>
            <w:r w:rsidRPr="00B54BFA">
              <w:rPr>
                <w:rFonts w:ascii="Calibri" w:eastAsia="Times New Roman" w:hAnsi="Calibri" w:cs="Arial"/>
                <w:color w:val="000000"/>
                <w:lang w:eastAsia="en-GB"/>
              </w:rPr>
              <w:t>(Intercept)</w:t>
            </w:r>
          </w:p>
        </w:tc>
        <w:tc>
          <w:tcPr>
            <w:tcW w:w="1229" w:type="dxa"/>
            <w:tcBorders>
              <w:top w:val="nil"/>
              <w:left w:val="nil"/>
              <w:bottom w:val="nil"/>
              <w:right w:val="nil"/>
            </w:tcBorders>
            <w:shd w:val="clear" w:color="auto" w:fill="auto"/>
            <w:noWrap/>
            <w:vAlign w:val="bottom"/>
            <w:hideMark/>
          </w:tcPr>
          <w:p w:rsidR="00BD020B" w:rsidRPr="00B54BFA" w:rsidRDefault="00BD020B" w:rsidP="00BD020B">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2.349</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BD020B" w:rsidRPr="00B54BFA" w:rsidRDefault="00BD020B" w:rsidP="00BD020B">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0.212</w:t>
            </w:r>
          </w:p>
        </w:tc>
        <w:tc>
          <w:tcPr>
            <w:tcW w:w="1087" w:type="dxa"/>
            <w:tcBorders>
              <w:top w:val="nil"/>
              <w:left w:val="nil"/>
              <w:bottom w:val="nil"/>
              <w:right w:val="nil"/>
            </w:tcBorders>
            <w:vAlign w:val="bottom"/>
          </w:tcPr>
          <w:p w:rsidR="00BD020B" w:rsidRPr="00B54BFA" w:rsidRDefault="00BD020B" w:rsidP="00BD020B">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5.271</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BD020B" w:rsidRPr="00B54BFA" w:rsidRDefault="00BD020B" w:rsidP="00BD020B">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0.288</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ind w:left="720"/>
              <w:rPr>
                <w:rFonts w:eastAsia="Times New Roman" w:cs="Arial"/>
                <w:i/>
                <w:color w:val="000000"/>
                <w:lang w:eastAsia="en-GB"/>
              </w:rPr>
            </w:pPr>
            <w:r w:rsidRPr="00B54BFA">
              <w:rPr>
                <w:rFonts w:eastAsia="Times New Roman" w:cs="Arial"/>
                <w:i/>
                <w:color w:val="000000"/>
                <w:lang w:eastAsia="en-GB"/>
              </w:rPr>
              <w:t>Socioeconomics</w:t>
            </w: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Mean Age</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-0.093</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0.036</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-0.166</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0.038</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Self Employed</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0.052</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0.012</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0.074</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0.012</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University Degree</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-0.013</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0.010</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0.013</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0.013</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ind w:left="720"/>
              <w:rPr>
                <w:rFonts w:eastAsia="Times New Roman" w:cs="Arial"/>
                <w:i/>
                <w:color w:val="000000"/>
                <w:lang w:eastAsia="en-GB"/>
              </w:rPr>
            </w:pPr>
            <w:r w:rsidRPr="00B54BFA">
              <w:rPr>
                <w:rFonts w:eastAsia="Times New Roman" w:cs="Arial"/>
                <w:i/>
                <w:color w:val="000000"/>
                <w:lang w:eastAsia="en-GB"/>
              </w:rPr>
              <w:t>Travel</w:t>
            </w: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bookmarkStart w:id="0" w:name="_GoBack"/>
            <w:bookmarkEnd w:id="0"/>
            <w:r w:rsidRPr="00B54BFA">
              <w:rPr>
                <w:rFonts w:eastAsia="Times New Roman" w:cs="Arial"/>
                <w:color w:val="000000"/>
                <w:lang w:eastAsia="en-GB"/>
              </w:rPr>
              <w:t>One Car</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-0.102</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0.019</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-0.114</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0.022</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Drive Commute</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-0.110</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0.019</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-0.099</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0.027</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Over 30km Commute</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0.039</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0.005</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0.044</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0.009</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ind w:left="720"/>
              <w:rPr>
                <w:rFonts w:eastAsia="Times New Roman" w:cs="Arial"/>
                <w:i/>
                <w:color w:val="000000"/>
                <w:lang w:eastAsia="en-GB"/>
              </w:rPr>
            </w:pPr>
            <w:r w:rsidRPr="00B54BFA">
              <w:rPr>
                <w:rFonts w:eastAsia="Times New Roman" w:cs="Arial"/>
                <w:i/>
                <w:color w:val="000000"/>
                <w:lang w:eastAsia="en-GB"/>
              </w:rPr>
              <w:t>Household</w:t>
            </w: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Population Density</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-0.018</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0.003</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-0.019</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0.003</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Mean Residents</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0.372</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0.042</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0.383</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0.047</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Rent Social</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0.003</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0.003</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0.007</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0.003</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rPr>
                <w:rFonts w:eastAsia="Times New Roman" w:cs="Arial"/>
                <w:color w:val="000000"/>
                <w:lang w:eastAsia="en-GB"/>
              </w:rPr>
            </w:pPr>
            <w:r w:rsidRPr="00B54BFA">
              <w:rPr>
                <w:rFonts w:eastAsia="Times New Roman" w:cs="Arial"/>
                <w:color w:val="000000"/>
                <w:lang w:eastAsia="en-GB"/>
              </w:rPr>
              <w:t>Flats</w:t>
            </w: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0.007</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0.002</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0.005</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0.002</w:t>
            </w:r>
          </w:p>
        </w:tc>
      </w:tr>
      <w:tr w:rsidR="00411D3E" w:rsidRPr="00B54BFA" w:rsidTr="00411D3E">
        <w:trPr>
          <w:trHeight w:val="269"/>
          <w:jc w:val="center"/>
        </w:trPr>
        <w:tc>
          <w:tcPr>
            <w:tcW w:w="2870" w:type="dxa"/>
            <w:tcBorders>
              <w:top w:val="nil"/>
              <w:left w:val="nil"/>
              <w:bottom w:val="nil"/>
              <w:right w:val="nil"/>
            </w:tcBorders>
            <w:shd w:val="clear" w:color="auto" w:fill="auto"/>
            <w:noWrap/>
          </w:tcPr>
          <w:p w:rsidR="00411D3E" w:rsidRPr="00B54BFA" w:rsidRDefault="00411D3E" w:rsidP="00411D3E">
            <w:pPr>
              <w:spacing w:after="0" w:line="240" w:lineRule="auto"/>
              <w:ind w:left="720"/>
              <w:rPr>
                <w:rFonts w:eastAsia="Times New Roman" w:cs="Arial"/>
                <w:color w:val="000000"/>
                <w:lang w:eastAsia="en-GB"/>
              </w:rPr>
            </w:pPr>
            <w:r w:rsidRPr="00B54BFA">
              <w:rPr>
                <w:rFonts w:eastAsia="Times New Roman" w:cs="Arial"/>
                <w:i/>
                <w:color w:val="000000"/>
                <w:lang w:eastAsia="en-GB"/>
              </w:rPr>
              <w:t>Nearness to Border</w:t>
            </w: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vAlign w:val="bottom"/>
          </w:tcPr>
          <w:p w:rsidR="00411D3E" w:rsidRPr="00B54BFA" w:rsidRDefault="00411D3E" w:rsidP="00411D3E">
            <w:pPr>
              <w:spacing w:after="0" w:line="240" w:lineRule="auto"/>
              <w:rPr>
                <w:rFonts w:ascii="Calibri" w:eastAsia="Times New Roman" w:hAnsi="Calibri" w:cs="Arial"/>
                <w:color w:val="000000"/>
                <w:lang w:eastAsia="en-GB"/>
              </w:rPr>
            </w:pPr>
          </w:p>
        </w:tc>
        <w:tc>
          <w:tcPr>
            <w:tcW w:w="1229"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-0.039</w:t>
            </w:r>
            <w:r>
              <w:rPr>
                <w:rFonts w:ascii="Calibri" w:eastAsia="Times New Roman" w:hAnsi="Calibri" w:cs="Arial"/>
                <w:color w:val="000000"/>
                <w:lang w:eastAsia="en-GB"/>
              </w:rPr>
              <w:t>**</w:t>
            </w:r>
          </w:p>
        </w:tc>
        <w:tc>
          <w:tcPr>
            <w:tcW w:w="1193" w:type="dxa"/>
            <w:tcBorders>
              <w:top w:val="nil"/>
              <w:left w:val="nil"/>
              <w:bottom w:val="nil"/>
              <w:right w:val="nil"/>
            </w:tcBorders>
            <w:shd w:val="clear" w:color="auto" w:fill="auto"/>
            <w:noWrap/>
            <w:vAlign w:val="bottom"/>
            <w:hideMark/>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0.004</w:t>
            </w: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-0.054</w:t>
            </w:r>
            <w:r>
              <w:rPr>
                <w:rFonts w:ascii="Calibri" w:eastAsia="Times New Roman" w:hAnsi="Calibri" w:cs="Arial"/>
                <w:color w:val="000000"/>
                <w:lang w:eastAsia="en-GB"/>
              </w:rPr>
              <w:t>**</w:t>
            </w: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r w:rsidRPr="00B54BFA">
              <w:rPr>
                <w:rFonts w:ascii="Calibri" w:eastAsia="Times New Roman" w:hAnsi="Calibri" w:cs="Arial"/>
                <w:color w:val="000000"/>
                <w:lang w:eastAsia="en-GB"/>
              </w:rPr>
              <w:t>0.019</w:t>
            </w:r>
          </w:p>
        </w:tc>
      </w:tr>
      <w:tr w:rsidR="00411D3E" w:rsidRPr="00B54BFA" w:rsidTr="00411D3E">
        <w:trPr>
          <w:trHeight w:val="269"/>
          <w:jc w:val="center"/>
        </w:trPr>
        <w:tc>
          <w:tcPr>
            <w:tcW w:w="2870" w:type="dxa"/>
            <w:tcBorders>
              <w:top w:val="nil"/>
              <w:left w:val="nil"/>
              <w:bottom w:val="nil"/>
              <w:right w:val="nil"/>
            </w:tcBorders>
            <w:shd w:val="clear" w:color="auto" w:fill="auto"/>
            <w:noWrap/>
            <w:vAlign w:val="bottom"/>
          </w:tcPr>
          <w:p w:rsidR="00411D3E" w:rsidRPr="00B54BFA" w:rsidRDefault="00411D3E" w:rsidP="00411D3E">
            <w:pPr>
              <w:spacing w:after="0" w:line="240" w:lineRule="auto"/>
              <w:rPr>
                <w:rFonts w:ascii="Calibri" w:eastAsia="Times New Roman" w:hAnsi="Calibri" w:cs="Arial"/>
                <w:color w:val="000000"/>
                <w:lang w:eastAsia="en-GB"/>
              </w:rPr>
            </w:pP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vAlign w:val="bottom"/>
          </w:tcPr>
          <w:p w:rsidR="00411D3E" w:rsidRPr="00B54BFA" w:rsidRDefault="00411D3E" w:rsidP="00411D3E">
            <w:pPr>
              <w:spacing w:after="0" w:line="240" w:lineRule="auto"/>
              <w:rPr>
                <w:rFonts w:ascii="Calibri" w:eastAsia="Times New Roman" w:hAnsi="Calibri" w:cs="Arial"/>
                <w:color w:val="000000"/>
                <w:lang w:eastAsia="en-GB"/>
              </w:rPr>
            </w:pP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vAlign w:val="bottom"/>
          </w:tcPr>
          <w:p w:rsidR="00411D3E" w:rsidRPr="00B54BFA" w:rsidRDefault="00411D3E" w:rsidP="00411D3E">
            <w:pPr>
              <w:spacing w:after="0" w:line="240" w:lineRule="auto"/>
              <w:rPr>
                <w:rFonts w:ascii="Calibri" w:eastAsia="Times New Roman" w:hAnsi="Calibri" w:cs="Arial"/>
                <w:color w:val="000000"/>
                <w:lang w:eastAsia="en-GB"/>
              </w:rPr>
            </w:pP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vAlign w:val="bottom"/>
          </w:tcPr>
          <w:p w:rsidR="00411D3E" w:rsidRPr="00B54BFA" w:rsidRDefault="00411D3E" w:rsidP="00411D3E">
            <w:pPr>
              <w:spacing w:after="0" w:line="240" w:lineRule="auto"/>
              <w:rPr>
                <w:rFonts w:ascii="Calibri" w:eastAsia="Times New Roman" w:hAnsi="Calibri" w:cs="Arial"/>
                <w:color w:val="000000"/>
                <w:lang w:eastAsia="en-GB"/>
              </w:rPr>
            </w:pP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vAlign w:val="bottom"/>
          </w:tcPr>
          <w:p w:rsidR="00411D3E" w:rsidRPr="00B54BFA" w:rsidRDefault="00411D3E" w:rsidP="00411D3E">
            <w:pPr>
              <w:spacing w:after="0" w:line="240" w:lineRule="auto"/>
              <w:rPr>
                <w:rFonts w:ascii="Calibri" w:eastAsia="Times New Roman" w:hAnsi="Calibri" w:cs="Arial"/>
                <w:color w:val="000000"/>
                <w:lang w:eastAsia="en-GB"/>
              </w:rPr>
            </w:pP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r w:rsidR="00411D3E" w:rsidRPr="00B54BFA" w:rsidTr="00411D3E">
        <w:trPr>
          <w:trHeight w:val="269"/>
          <w:jc w:val="center"/>
        </w:trPr>
        <w:tc>
          <w:tcPr>
            <w:tcW w:w="2870" w:type="dxa"/>
            <w:tcBorders>
              <w:top w:val="nil"/>
              <w:left w:val="nil"/>
              <w:bottom w:val="nil"/>
              <w:right w:val="nil"/>
            </w:tcBorders>
            <w:shd w:val="clear" w:color="auto" w:fill="auto"/>
            <w:noWrap/>
            <w:vAlign w:val="bottom"/>
          </w:tcPr>
          <w:p w:rsidR="00411D3E" w:rsidRPr="00B54BFA" w:rsidRDefault="00411D3E" w:rsidP="00411D3E">
            <w:pPr>
              <w:spacing w:after="0" w:line="240" w:lineRule="auto"/>
              <w:rPr>
                <w:rFonts w:ascii="Calibri" w:eastAsia="Times New Roman" w:hAnsi="Calibri" w:cs="Arial"/>
                <w:color w:val="000000"/>
                <w:lang w:eastAsia="en-GB"/>
              </w:rPr>
            </w:pPr>
          </w:p>
        </w:tc>
        <w:tc>
          <w:tcPr>
            <w:tcW w:w="1229"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193" w:type="dxa"/>
            <w:tcBorders>
              <w:top w:val="nil"/>
              <w:left w:val="nil"/>
              <w:bottom w:val="nil"/>
              <w:right w:val="nil"/>
            </w:tcBorders>
            <w:shd w:val="clear" w:color="auto" w:fill="auto"/>
            <w:noWrap/>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87"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c>
          <w:tcPr>
            <w:tcW w:w="1073" w:type="dxa"/>
            <w:tcBorders>
              <w:top w:val="nil"/>
              <w:left w:val="nil"/>
              <w:bottom w:val="nil"/>
              <w:right w:val="nil"/>
            </w:tcBorders>
            <w:vAlign w:val="bottom"/>
          </w:tcPr>
          <w:p w:rsidR="00411D3E" w:rsidRPr="00B54BFA" w:rsidRDefault="00411D3E" w:rsidP="00411D3E">
            <w:pPr>
              <w:spacing w:after="0" w:line="240" w:lineRule="auto"/>
              <w:jc w:val="right"/>
              <w:rPr>
                <w:rFonts w:ascii="Calibri" w:eastAsia="Times New Roman" w:hAnsi="Calibri" w:cs="Arial"/>
                <w:color w:val="000000"/>
                <w:lang w:eastAsia="en-GB"/>
              </w:rPr>
            </w:pPr>
          </w:p>
        </w:tc>
      </w:tr>
    </w:tbl>
    <w:p w:rsidR="00BB57D8" w:rsidRDefault="00BB57D8" w:rsidP="00B352E4">
      <w:pPr>
        <w:spacing w:after="0"/>
        <w:jc w:val="both"/>
      </w:pPr>
    </w:p>
    <w:sectPr w:rsidR="00BB5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23"/>
    <w:rsid w:val="00047122"/>
    <w:rsid w:val="00095000"/>
    <w:rsid w:val="000C0F74"/>
    <w:rsid w:val="001550AC"/>
    <w:rsid w:val="001F7DE2"/>
    <w:rsid w:val="002464B0"/>
    <w:rsid w:val="00277B55"/>
    <w:rsid w:val="002D6B92"/>
    <w:rsid w:val="003E02FD"/>
    <w:rsid w:val="00411D3E"/>
    <w:rsid w:val="004A7594"/>
    <w:rsid w:val="00517F88"/>
    <w:rsid w:val="00566392"/>
    <w:rsid w:val="00586FDE"/>
    <w:rsid w:val="005A29BD"/>
    <w:rsid w:val="005F4CFB"/>
    <w:rsid w:val="006A1DA6"/>
    <w:rsid w:val="007865C2"/>
    <w:rsid w:val="007B3E2A"/>
    <w:rsid w:val="009A51F5"/>
    <w:rsid w:val="009A52A9"/>
    <w:rsid w:val="00B352E4"/>
    <w:rsid w:val="00B54BFA"/>
    <w:rsid w:val="00BB57D8"/>
    <w:rsid w:val="00BD020B"/>
    <w:rsid w:val="00C61300"/>
    <w:rsid w:val="00D1290B"/>
    <w:rsid w:val="00E47650"/>
    <w:rsid w:val="00E635A1"/>
    <w:rsid w:val="00F20B6F"/>
    <w:rsid w:val="00FB78D7"/>
    <w:rsid w:val="00FE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B8F17-AC63-4D28-B5F7-57B0D5C9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694633">
      <w:bodyDiv w:val="1"/>
      <w:marLeft w:val="0"/>
      <w:marRight w:val="0"/>
      <w:marTop w:val="0"/>
      <w:marBottom w:val="0"/>
      <w:divBdr>
        <w:top w:val="none" w:sz="0" w:space="0" w:color="auto"/>
        <w:left w:val="none" w:sz="0" w:space="0" w:color="auto"/>
        <w:bottom w:val="none" w:sz="0" w:space="0" w:color="auto"/>
        <w:right w:val="none" w:sz="0" w:space="0" w:color="auto"/>
      </w:divBdr>
    </w:div>
    <w:div w:id="9880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9</cp:revision>
  <dcterms:created xsi:type="dcterms:W3CDTF">2017-07-18T19:21:00Z</dcterms:created>
  <dcterms:modified xsi:type="dcterms:W3CDTF">2017-07-20T16:14:00Z</dcterms:modified>
</cp:coreProperties>
</file>