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A9" w:rsidRPr="00F20B6F" w:rsidRDefault="00F20B6F" w:rsidP="00F20B6F">
      <w:pPr>
        <w:spacing w:after="0"/>
        <w:rPr>
          <w:b/>
        </w:rPr>
      </w:pPr>
      <w:r w:rsidRPr="00F20B6F">
        <w:rPr>
          <w:b/>
        </w:rPr>
        <w:t>Results</w:t>
      </w:r>
    </w:p>
    <w:p w:rsidR="00F20B6F" w:rsidRDefault="00F20B6F" w:rsidP="00F20B6F">
      <w:pPr>
        <w:spacing w:after="0"/>
      </w:pPr>
    </w:p>
    <w:p w:rsidR="00F20B6F" w:rsidRPr="00F20B6F" w:rsidRDefault="00F20B6F" w:rsidP="00F20B6F">
      <w:pPr>
        <w:spacing w:after="0"/>
        <w:rPr>
          <w:b/>
        </w:rPr>
      </w:pPr>
      <w:r w:rsidRPr="00F20B6F">
        <w:rPr>
          <w:b/>
        </w:rPr>
        <w:t>Spatial Variation in Diesel Ownership</w:t>
      </w:r>
    </w:p>
    <w:p w:rsidR="00F20B6F" w:rsidRDefault="00F20B6F" w:rsidP="00F20B6F">
      <w:pPr>
        <w:spacing w:after="0"/>
      </w:pPr>
    </w:p>
    <w:p w:rsidR="00F20B6F" w:rsidRDefault="00F20B6F" w:rsidP="00277B55">
      <w:pPr>
        <w:spacing w:after="0"/>
        <w:jc w:val="both"/>
      </w:pPr>
      <w:r w:rsidRPr="00277B55">
        <w:rPr>
          <w:highlight w:val="yellow"/>
        </w:rPr>
        <w:t>Figure Y</w:t>
      </w:r>
      <w:r>
        <w:t xml:space="preserve"> displays the rate of diesel car ownership across </w:t>
      </w:r>
      <w:r w:rsidR="00277B55">
        <w:t>the local authorities of the UK grouped by</w:t>
      </w:r>
      <w:r w:rsidR="00E32E7D">
        <w:t xml:space="preserve"> Government Office Region</w:t>
      </w:r>
      <w:r w:rsidR="00277B55">
        <w:t>. From this figure, it is apparent that the local authorities of Northern Ireland tend to contain higher proportions of diesel cars in their fleets com</w:t>
      </w:r>
      <w:r w:rsidR="000C0F74">
        <w:t xml:space="preserve">pared to other regions. This observation indicates that a </w:t>
      </w:r>
      <w:r w:rsidR="00D70811">
        <w:t>factor</w:t>
      </w:r>
      <w:r w:rsidR="000C0F74">
        <w:t xml:space="preserve"> is active in Northern Ireland that may be encouraging the ownership of diesel cars which is not present in the rest of the UK.</w:t>
      </w:r>
    </w:p>
    <w:p w:rsidR="00277B55" w:rsidRDefault="00277B55" w:rsidP="00F20B6F">
      <w:pPr>
        <w:spacing w:after="0"/>
      </w:pPr>
    </w:p>
    <w:p w:rsidR="00277B55" w:rsidRDefault="00D1290B" w:rsidP="00FB78D7">
      <w:pPr>
        <w:spacing w:after="0"/>
        <w:jc w:val="center"/>
        <w:rPr>
          <w:noProof/>
          <w:lang w:eastAsia="en-GB"/>
        </w:rPr>
      </w:pPr>
      <w:r>
        <w:rPr>
          <w:noProof/>
          <w:lang w:eastAsia="en-GB"/>
        </w:rPr>
        <w:drawing>
          <wp:inline distT="0" distB="0" distL="0" distR="0">
            <wp:extent cx="5585791" cy="35751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4">
                      <a:extLst>
                        <a:ext uri="{28A0092B-C50C-407E-A947-70E740481C1C}">
                          <a14:useLocalDpi xmlns:a14="http://schemas.microsoft.com/office/drawing/2010/main" val="0"/>
                        </a:ext>
                      </a:extLst>
                    </a:blip>
                    <a:stretch>
                      <a:fillRect/>
                    </a:stretch>
                  </pic:blipFill>
                  <pic:spPr>
                    <a:xfrm>
                      <a:off x="0" y="0"/>
                      <a:ext cx="5586561" cy="3575622"/>
                    </a:xfrm>
                    <a:prstGeom prst="rect">
                      <a:avLst/>
                    </a:prstGeom>
                  </pic:spPr>
                </pic:pic>
              </a:graphicData>
            </a:graphic>
          </wp:inline>
        </w:drawing>
      </w:r>
    </w:p>
    <w:p w:rsidR="00277B55" w:rsidRDefault="00277B55" w:rsidP="00277B55">
      <w:pPr>
        <w:spacing w:after="0"/>
        <w:jc w:val="both"/>
        <w:rPr>
          <w:noProof/>
          <w:lang w:eastAsia="en-GB"/>
        </w:rPr>
      </w:pPr>
      <w:r w:rsidRPr="00277B55">
        <w:rPr>
          <w:b/>
          <w:noProof/>
          <w:highlight w:val="yellow"/>
          <w:lang w:eastAsia="en-GB"/>
        </w:rPr>
        <w:t>Figure Y:</w:t>
      </w:r>
      <w:r w:rsidR="007E281C">
        <w:rPr>
          <w:noProof/>
          <w:lang w:eastAsia="en-GB"/>
        </w:rPr>
        <w:t xml:space="preserve"> The percentage of local authority</w:t>
      </w:r>
      <w:r>
        <w:rPr>
          <w:noProof/>
          <w:lang w:eastAsia="en-GB"/>
        </w:rPr>
        <w:t xml:space="preserve"> car fleet</w:t>
      </w:r>
      <w:r w:rsidR="007E281C">
        <w:rPr>
          <w:noProof/>
          <w:lang w:eastAsia="en-GB"/>
        </w:rPr>
        <w:t>s</w:t>
      </w:r>
      <w:r>
        <w:rPr>
          <w:noProof/>
          <w:lang w:eastAsia="en-GB"/>
        </w:rPr>
        <w:t xml:space="preserve"> that </w:t>
      </w:r>
      <w:r w:rsidR="007E281C">
        <w:rPr>
          <w:noProof/>
          <w:lang w:eastAsia="en-GB"/>
        </w:rPr>
        <w:t>are</w:t>
      </w:r>
      <w:r>
        <w:rPr>
          <w:noProof/>
          <w:lang w:eastAsia="en-GB"/>
        </w:rPr>
        <w:t xml:space="preserve"> fuelled by diesel grouped by Government Office Region</w:t>
      </w:r>
    </w:p>
    <w:p w:rsidR="00277B55" w:rsidRDefault="00277B55" w:rsidP="00F20B6F">
      <w:pPr>
        <w:spacing w:after="0"/>
      </w:pPr>
    </w:p>
    <w:p w:rsidR="001F7DE2" w:rsidRDefault="001F7DE2" w:rsidP="003E02FD">
      <w:pPr>
        <w:spacing w:after="0"/>
        <w:jc w:val="both"/>
      </w:pPr>
      <w:r>
        <w:t xml:space="preserve">Examining the spatial variation in diesel car ownership that is present within Northern Ireland, </w:t>
      </w:r>
      <w:r w:rsidRPr="001F7DE2">
        <w:rPr>
          <w:highlight w:val="yellow"/>
        </w:rPr>
        <w:t>Figure Y</w:t>
      </w:r>
      <w:r>
        <w:t xml:space="preserve"> illustrates the percentage</w:t>
      </w:r>
      <w:r w:rsidR="007B3E2A">
        <w:t xml:space="preserve"> of the car fleet which is diesel fuelled across the SOAs</w:t>
      </w:r>
      <w:r>
        <w:t xml:space="preserve">. </w:t>
      </w:r>
      <w:r w:rsidR="003E02FD">
        <w:t xml:space="preserve">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0C0F74" w:rsidRDefault="000C0F74" w:rsidP="00F20B6F">
      <w:pPr>
        <w:spacing w:after="0"/>
      </w:pPr>
    </w:p>
    <w:p w:rsidR="001F7DE2" w:rsidRDefault="003E02FD" w:rsidP="007E281C">
      <w:pPr>
        <w:spacing w:after="0"/>
        <w:jc w:val="center"/>
        <w:rPr>
          <w:noProof/>
          <w:lang w:eastAsia="en-GB"/>
        </w:rPr>
      </w:pPr>
      <w:r>
        <w:rPr>
          <w:noProof/>
          <w:lang w:eastAsia="en-GB"/>
        </w:rPr>
        <w:lastRenderedPageBreak/>
        <w:drawing>
          <wp:inline distT="0" distB="0" distL="0" distR="0" wp14:anchorId="3FDBF1BB" wp14:editId="73D56580">
            <wp:extent cx="5533209" cy="38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5" cstate="print">
                      <a:extLst>
                        <a:ext uri="{28A0092B-C50C-407E-A947-70E740481C1C}">
                          <a14:useLocalDpi xmlns:a14="http://schemas.microsoft.com/office/drawing/2010/main" val="0"/>
                        </a:ext>
                      </a:extLst>
                    </a:blip>
                    <a:srcRect l="1804" t="2353" r="1629" b="2084"/>
                    <a:stretch/>
                  </pic:blipFill>
                  <pic:spPr bwMode="auto">
                    <a:xfrm>
                      <a:off x="0" y="0"/>
                      <a:ext cx="5534753" cy="3873365"/>
                    </a:xfrm>
                    <a:prstGeom prst="rect">
                      <a:avLst/>
                    </a:prstGeom>
                    <a:ln>
                      <a:noFill/>
                    </a:ln>
                    <a:extLst>
                      <a:ext uri="{53640926-AAD7-44D8-BBD7-CCE9431645EC}">
                        <a14:shadowObscured xmlns:a14="http://schemas.microsoft.com/office/drawing/2010/main"/>
                      </a:ext>
                    </a:extLst>
                  </pic:spPr>
                </pic:pic>
              </a:graphicData>
            </a:graphic>
          </wp:inline>
        </w:drawing>
      </w:r>
    </w:p>
    <w:p w:rsidR="003E02FD" w:rsidRDefault="003E02FD" w:rsidP="00F20B6F">
      <w:pPr>
        <w:spacing w:after="0"/>
        <w:rPr>
          <w:noProof/>
          <w:lang w:eastAsia="en-GB"/>
        </w:rPr>
      </w:pPr>
    </w:p>
    <w:p w:rsidR="003E02FD" w:rsidRDefault="00566392" w:rsidP="00B352E4">
      <w:pPr>
        <w:spacing w:after="0"/>
        <w:jc w:val="both"/>
        <w:rPr>
          <w:noProof/>
          <w:lang w:eastAsia="en-GB"/>
        </w:rPr>
      </w:pPr>
      <w:r w:rsidRPr="00566392">
        <w:rPr>
          <w:b/>
          <w:noProof/>
          <w:highlight w:val="yellow"/>
          <w:lang w:eastAsia="en-GB"/>
        </w:rPr>
        <w:t>Figure Y:</w:t>
      </w:r>
      <w:r>
        <w:rPr>
          <w:noProof/>
          <w:lang w:eastAsia="en-GB"/>
        </w:rPr>
        <w:t xml:space="preserve"> Choropleth map showing the proportion of the local car fleet that is diesel fuelled across the Super Output Areas of Northern Ireland </w:t>
      </w:r>
    </w:p>
    <w:p w:rsidR="00566392" w:rsidRDefault="00566392" w:rsidP="00B352E4">
      <w:pPr>
        <w:spacing w:after="0"/>
        <w:jc w:val="both"/>
        <w:rPr>
          <w:noProof/>
          <w:lang w:eastAsia="en-GB"/>
        </w:rPr>
      </w:pPr>
    </w:p>
    <w:p w:rsidR="003E02FD" w:rsidRDefault="007865C2" w:rsidP="00B352E4">
      <w:pPr>
        <w:spacing w:after="0"/>
        <w:jc w:val="both"/>
      </w:pPr>
      <w:r>
        <w:t xml:space="preserve">The spatial patterning in the rate of diesel car ownership also exhibits signs of spatial dependence, whereby the proportion of the car fleet which is diesel fuelled in one spatial unit </w:t>
      </w:r>
      <w:r w:rsidR="007E281C">
        <w:t>tends to be</w:t>
      </w:r>
      <w:r>
        <w:t xml:space="preserve"> related to the proportion observed in neighbouring spatial units. This is supported by Moran’s-I test of spatial autocorrelation, which returns a strong positive coefficient (</w:t>
      </w:r>
      <w:r w:rsidR="007E281C" w:rsidRPr="007E281C">
        <w:rPr>
          <w:i/>
        </w:rPr>
        <w:t>I</w:t>
      </w:r>
      <w:r>
        <w:t xml:space="preserve"> = 0.919, p-val</w:t>
      </w:r>
      <w:r w:rsidR="007E281C">
        <w:t>u</w:t>
      </w:r>
      <w:r>
        <w:t xml:space="preserve">e &lt; .001). </w:t>
      </w:r>
      <w:r w:rsidR="00B352E4">
        <w:t xml:space="preserve">The occurrence of spatial dependence is clearly visible in the LISA analysis reported in </w:t>
      </w:r>
      <w:r w:rsidR="00B352E4" w:rsidRPr="00B352E4">
        <w:rPr>
          <w:highlight w:val="yellow"/>
        </w:rPr>
        <w:t>Figure Y</w:t>
      </w:r>
      <w:r w:rsidR="00B352E4">
        <w:t>. Here, it is apparent that the border region of Northern Ireland, and extending a considerable distance inland, represents a h</w:t>
      </w:r>
      <w:r w:rsidR="006A1DA6">
        <w:t xml:space="preserve">ot-spot of diesel car ownership. Conversely, a cold-spot is present in the mid-east of the country and corresponds with the metropolitan area of Belfast. </w:t>
      </w:r>
    </w:p>
    <w:p w:rsidR="002D6B92" w:rsidRDefault="002D6B92" w:rsidP="00B352E4">
      <w:pPr>
        <w:spacing w:after="0"/>
        <w:jc w:val="both"/>
      </w:pPr>
    </w:p>
    <w:p w:rsidR="00B352E4" w:rsidRDefault="00B352E4" w:rsidP="00B352E4">
      <w:pPr>
        <w:spacing w:after="0"/>
        <w:jc w:val="both"/>
      </w:pPr>
    </w:p>
    <w:p w:rsidR="00B352E4" w:rsidRDefault="00B352E4" w:rsidP="00B352E4">
      <w:pPr>
        <w:spacing w:after="0"/>
        <w:jc w:val="both"/>
      </w:pPr>
      <w:r>
        <w:rPr>
          <w:noProof/>
          <w:lang w:eastAsia="en-GB"/>
        </w:rPr>
        <w:lastRenderedPageBreak/>
        <w:drawing>
          <wp:inline distT="0" distB="0" distL="0" distR="0">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6"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B352E4" w:rsidRDefault="00B352E4" w:rsidP="00B352E4">
      <w:pPr>
        <w:spacing w:after="0"/>
        <w:jc w:val="both"/>
      </w:pPr>
    </w:p>
    <w:p w:rsidR="00B352E4" w:rsidRDefault="006A1DA6" w:rsidP="00B352E4">
      <w:pPr>
        <w:spacing w:after="0"/>
        <w:jc w:val="both"/>
      </w:pPr>
      <w:r w:rsidRPr="00566392">
        <w:rPr>
          <w:b/>
          <w:highlight w:val="yellow"/>
        </w:rPr>
        <w:t>Figure Y</w:t>
      </w:r>
      <w:r>
        <w:t xml:space="preserve">: Local indicator of spatial association </w:t>
      </w:r>
      <w:r w:rsidR="00566392">
        <w:t>concerning the proportion of the local car fleet which is diesel fuelled</w:t>
      </w:r>
    </w:p>
    <w:p w:rsidR="00B352E4" w:rsidRDefault="00B352E4" w:rsidP="00B352E4">
      <w:pPr>
        <w:spacing w:after="0"/>
        <w:jc w:val="both"/>
      </w:pPr>
    </w:p>
    <w:p w:rsidR="00C61300" w:rsidRPr="00047122" w:rsidRDefault="00C61300" w:rsidP="00B352E4">
      <w:pPr>
        <w:spacing w:after="0"/>
        <w:jc w:val="both"/>
        <w:rPr>
          <w:b/>
        </w:rPr>
      </w:pPr>
      <w:r w:rsidRPr="00047122">
        <w:rPr>
          <w:b/>
        </w:rPr>
        <w:t xml:space="preserve">Nearness to </w:t>
      </w:r>
      <w:r w:rsidR="004F1ACF">
        <w:rPr>
          <w:b/>
        </w:rPr>
        <w:t>the Republic of Ireland</w:t>
      </w:r>
    </w:p>
    <w:p w:rsidR="00C61300" w:rsidRDefault="00C61300" w:rsidP="00B352E4">
      <w:pPr>
        <w:spacing w:after="0"/>
        <w:jc w:val="both"/>
      </w:pPr>
    </w:p>
    <w:p w:rsidR="00047122" w:rsidRDefault="00047122" w:rsidP="00B352E4">
      <w:pPr>
        <w:spacing w:after="0"/>
        <w:jc w:val="both"/>
      </w:pPr>
      <w:r w:rsidRPr="004F1ACF">
        <w:rPr>
          <w:highlight w:val="yellow"/>
        </w:rPr>
        <w:t>Figure Y</w:t>
      </w:r>
      <w:r>
        <w:t xml:space="preserve"> displays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w:t>
      </w:r>
      <w:r w:rsidR="004F1ACF">
        <w:t>decreases</w:t>
      </w:r>
      <w:r>
        <w:t xml:space="preserve"> noticeably for the SOAs that are outside of a 20 km buffer to the border (i.e. the rest of Northern Ireland), where the average rate of diesel car ownership is approximately 40%. The </w:t>
      </w:r>
      <w:r w:rsidR="005F4CFB">
        <w:t xml:space="preserve">visible difference between the SOAs of the rest of Northern Ireland category and those assigned the buffer categories is supported by a significant </w:t>
      </w:r>
      <w:proofErr w:type="spellStart"/>
      <w:r w:rsidR="005A29BD">
        <w:t>Kruskal</w:t>
      </w:r>
      <w:proofErr w:type="spellEnd"/>
      <w:r w:rsidR="005A29BD">
        <w:t>-Wallis</w:t>
      </w:r>
      <w:r w:rsidR="004F1ACF">
        <w:t xml:space="preserve"> test result</w:t>
      </w:r>
      <w:r w:rsidR="005F4CFB">
        <w:t xml:space="preserve"> (H = 335.929, p-value &lt; .001).</w:t>
      </w:r>
    </w:p>
    <w:p w:rsidR="005F4CFB" w:rsidRDefault="005F4CFB" w:rsidP="00B352E4">
      <w:pPr>
        <w:spacing w:after="0"/>
        <w:jc w:val="both"/>
      </w:pPr>
    </w:p>
    <w:p w:rsidR="00047122" w:rsidRDefault="00047122" w:rsidP="00B352E4">
      <w:pPr>
        <w:spacing w:after="0"/>
        <w:jc w:val="both"/>
      </w:pPr>
    </w:p>
    <w:p w:rsidR="00586FDE" w:rsidRDefault="00586FDE" w:rsidP="00B352E4">
      <w:pPr>
        <w:spacing w:after="0"/>
        <w:jc w:val="both"/>
      </w:pPr>
    </w:p>
    <w:p w:rsidR="00586FDE" w:rsidRDefault="00586FDE" w:rsidP="00586FDE">
      <w:pPr>
        <w:spacing w:after="0"/>
        <w:jc w:val="center"/>
      </w:pPr>
      <w:r>
        <w:rPr>
          <w:noProof/>
          <w:lang w:eastAsia="en-GB"/>
        </w:rPr>
        <w:lastRenderedPageBreak/>
        <w:drawing>
          <wp:inline distT="0" distB="0" distL="0" distR="0" wp14:anchorId="097856D0" wp14:editId="68A725E1">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586FDE" w:rsidRDefault="00586FDE" w:rsidP="00B352E4">
      <w:pPr>
        <w:spacing w:after="0"/>
        <w:jc w:val="both"/>
      </w:pPr>
    </w:p>
    <w:p w:rsidR="00586FDE" w:rsidRDefault="00FB78D7" w:rsidP="00B352E4">
      <w:pPr>
        <w:spacing w:after="0"/>
        <w:jc w:val="both"/>
      </w:pPr>
      <w:r w:rsidRPr="00FB78D7">
        <w:rPr>
          <w:b/>
          <w:highlight w:val="yellow"/>
        </w:rPr>
        <w:t>Figure Y</w:t>
      </w:r>
      <w:r>
        <w:t>: Boxplots grouping Super Output Areas by buffer to the border with the Republic of Ireland (i.e. the contiguity method) by the proportion of the car fleet that is fuelled by diesel</w:t>
      </w:r>
    </w:p>
    <w:p w:rsidR="00586FDE" w:rsidRDefault="00586FDE" w:rsidP="00B352E4">
      <w:pPr>
        <w:spacing w:after="0"/>
        <w:jc w:val="both"/>
      </w:pPr>
    </w:p>
    <w:p w:rsidR="00095000" w:rsidRDefault="00095000" w:rsidP="00B352E4">
      <w:pPr>
        <w:spacing w:after="0"/>
        <w:jc w:val="both"/>
      </w:pPr>
      <w:r w:rsidRPr="004F1ACF">
        <w:rPr>
          <w:highlight w:val="yellow"/>
        </w:rPr>
        <w:t xml:space="preserve">Figure </w:t>
      </w:r>
      <w:proofErr w:type="spellStart"/>
      <w:proofErr w:type="gramStart"/>
      <w:r w:rsidRPr="004F1ACF">
        <w:rPr>
          <w:highlight w:val="yellow"/>
        </w:rPr>
        <w:t>Ya</w:t>
      </w:r>
      <w:proofErr w:type="spellEnd"/>
      <w:proofErr w:type="gramEnd"/>
      <w:r>
        <w:t xml:space="preserve"> evaluates the relationship between diesel car ownership and Euclidean distance to the nearest road crossing into the Republic of Ireland (i.e. the proximity method). In this instance, a negative relationship is evident (</w:t>
      </w:r>
      <w:proofErr w:type="spellStart"/>
      <w:r>
        <w:t>r</w:t>
      </w:r>
      <w:r w:rsidRPr="00095000">
        <w:rPr>
          <w:vertAlign w:val="subscript"/>
        </w:rPr>
        <w:t>s</w:t>
      </w:r>
      <w:proofErr w:type="spellEnd"/>
      <w:r>
        <w:t xml:space="preserve">: </w:t>
      </w:r>
      <w:r w:rsidR="001550AC">
        <w:t>-</w:t>
      </w:r>
      <w:r>
        <w:t xml:space="preserve">0.713, p-value &lt; 0.001), implying that as proximity to the border decreases, the rate of diesel car ownership tends to decrease. </w:t>
      </w:r>
      <w:r w:rsidR="001550AC">
        <w:t>A similar set of findings is presented when considering network distance to the nearest fuel station in the Republic of Ireland (</w:t>
      </w:r>
      <w:r w:rsidR="001550AC" w:rsidRPr="003C1AB9">
        <w:rPr>
          <w:highlight w:val="yellow"/>
        </w:rPr>
        <w:t xml:space="preserve">Figure </w:t>
      </w:r>
      <w:proofErr w:type="spellStart"/>
      <w:r w:rsidR="001550AC" w:rsidRPr="003C1AB9">
        <w:rPr>
          <w:highlight w:val="yellow"/>
        </w:rPr>
        <w:t>Yb</w:t>
      </w:r>
      <w:proofErr w:type="spellEnd"/>
      <w:r w:rsidR="001550AC">
        <w:t xml:space="preserve">; </w:t>
      </w:r>
      <w:proofErr w:type="spellStart"/>
      <w:r w:rsidR="001550AC">
        <w:t>r</w:t>
      </w:r>
      <w:r w:rsidR="001550AC" w:rsidRPr="00095000">
        <w:rPr>
          <w:vertAlign w:val="subscript"/>
        </w:rPr>
        <w:t>s</w:t>
      </w:r>
      <w:proofErr w:type="spellEnd"/>
      <w:r w:rsidR="001550AC">
        <w:t>: -0.598, p-value &lt; 0.001) and network time to the nearest fuel station (</w:t>
      </w:r>
      <w:r w:rsidR="001550AC" w:rsidRPr="003C1AB9">
        <w:rPr>
          <w:highlight w:val="yellow"/>
        </w:rPr>
        <w:t xml:space="preserve">Figure </w:t>
      </w:r>
      <w:proofErr w:type="spellStart"/>
      <w:r w:rsidR="001550AC" w:rsidRPr="003C1AB9">
        <w:rPr>
          <w:highlight w:val="yellow"/>
        </w:rPr>
        <w:t>Yc</w:t>
      </w:r>
      <w:proofErr w:type="spellEnd"/>
      <w:r w:rsidR="001550AC">
        <w:t xml:space="preserve">, </w:t>
      </w:r>
      <w:proofErr w:type="spellStart"/>
      <w:r w:rsidR="001550AC">
        <w:t>r</w:t>
      </w:r>
      <w:r w:rsidR="001550AC" w:rsidRPr="00095000">
        <w:rPr>
          <w:vertAlign w:val="subscript"/>
        </w:rPr>
        <w:t>s</w:t>
      </w:r>
      <w:proofErr w:type="spellEnd"/>
      <w:r w:rsidR="001550AC">
        <w:t xml:space="preserve">: -0.475, p-value &lt; 0.001). </w:t>
      </w:r>
    </w:p>
    <w:p w:rsidR="00586FDE" w:rsidRDefault="00586FDE" w:rsidP="00B352E4">
      <w:pPr>
        <w:spacing w:after="0"/>
        <w:jc w:val="both"/>
      </w:pPr>
    </w:p>
    <w:tbl>
      <w:tblPr>
        <w:tblStyle w:val="TableGrid"/>
        <w:tblW w:w="9266" w:type="dxa"/>
        <w:jc w:val="center"/>
        <w:tblLook w:val="04A0" w:firstRow="1" w:lastRow="0" w:firstColumn="1" w:lastColumn="0" w:noHBand="0" w:noVBand="1"/>
      </w:tblPr>
      <w:tblGrid>
        <w:gridCol w:w="3276"/>
        <w:gridCol w:w="3219"/>
        <w:gridCol w:w="3246"/>
      </w:tblGrid>
      <w:tr w:rsidR="00FB78D7" w:rsidTr="00FB78D7">
        <w:trPr>
          <w:trHeight w:val="2087"/>
          <w:jc w:val="center"/>
        </w:trPr>
        <w:tc>
          <w:tcPr>
            <w:tcW w:w="3151" w:type="dxa"/>
            <w:tcBorders>
              <w:top w:val="nil"/>
              <w:left w:val="nil"/>
              <w:bottom w:val="nil"/>
              <w:right w:val="nil"/>
            </w:tcBorders>
          </w:tcPr>
          <w:p w:rsidR="00586FDE" w:rsidRDefault="00586FDE" w:rsidP="00FB78D7">
            <w:pPr>
              <w:jc w:val="center"/>
            </w:pPr>
            <w:r>
              <w:rPr>
                <w:noProof/>
                <w:lang w:eastAsia="en-GB"/>
              </w:rPr>
              <w:drawing>
                <wp:inline distT="0" distB="0" distL="0" distR="0">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586FDE" w:rsidRDefault="00FB78D7" w:rsidP="00FB78D7">
            <w:pPr>
              <w:jc w:val="center"/>
            </w:pPr>
            <w:r>
              <w:rPr>
                <w:noProof/>
                <w:lang w:eastAsia="en-GB"/>
              </w:rPr>
              <w:drawing>
                <wp:inline distT="0" distB="0" distL="0" distR="0">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586FDE" w:rsidRDefault="00FB78D7" w:rsidP="00FB78D7">
            <w:pPr>
              <w:jc w:val="center"/>
            </w:pPr>
            <w:r>
              <w:rPr>
                <w:noProof/>
                <w:lang w:eastAsia="en-GB"/>
              </w:rPr>
              <w:drawing>
                <wp:inline distT="0" distB="0" distL="0" distR="0">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586FDE" w:rsidRDefault="00586FDE" w:rsidP="00B352E4">
      <w:pPr>
        <w:spacing w:after="0"/>
        <w:jc w:val="both"/>
      </w:pPr>
    </w:p>
    <w:p w:rsidR="00586FDE" w:rsidRDefault="00FB78D7" w:rsidP="00B352E4">
      <w:pPr>
        <w:spacing w:after="0"/>
        <w:jc w:val="both"/>
      </w:pPr>
      <w:r w:rsidRPr="00FB78D7">
        <w:rPr>
          <w:b/>
          <w:highlight w:val="yellow"/>
        </w:rPr>
        <w:t>Figure Y:</w:t>
      </w:r>
      <w:r w:rsidRPr="00FB78D7">
        <w:rPr>
          <w:b/>
        </w:rPr>
        <w:t xml:space="preserve"> </w:t>
      </w:r>
      <w:r>
        <w:t>Scatterplots of proportion of the Super Output Area car fleet that is diesel fuelled (y-axis) against (a) Euclidean distance to the nearest road crossing, (b) network distance to the nearest fuel station in</w:t>
      </w:r>
      <w:r w:rsidR="003C1AB9">
        <w:t xml:space="preserve"> the Republic of Ireland, and (c</w:t>
      </w:r>
      <w:r>
        <w:t>)</w:t>
      </w:r>
      <w:r w:rsidR="001550AC">
        <w:t xml:space="preserve"> network time to the nearest fuel station in the Republic of Ireland</w:t>
      </w:r>
    </w:p>
    <w:p w:rsidR="00C61300" w:rsidRDefault="00C61300" w:rsidP="00B352E4">
      <w:pPr>
        <w:spacing w:after="0"/>
        <w:jc w:val="both"/>
      </w:pPr>
    </w:p>
    <w:p w:rsidR="001550AC" w:rsidRPr="00517F88" w:rsidRDefault="00517F88" w:rsidP="00B352E4">
      <w:pPr>
        <w:spacing w:after="0"/>
        <w:jc w:val="both"/>
        <w:rPr>
          <w:b/>
        </w:rPr>
      </w:pPr>
      <w:r w:rsidRPr="00517F88">
        <w:rPr>
          <w:b/>
        </w:rPr>
        <w:t>Regression Analysis</w:t>
      </w:r>
    </w:p>
    <w:p w:rsidR="00517F88" w:rsidRDefault="00517F88" w:rsidP="00B352E4">
      <w:pPr>
        <w:spacing w:after="0"/>
        <w:jc w:val="both"/>
      </w:pPr>
    </w:p>
    <w:p w:rsidR="00517F88" w:rsidRDefault="00517F88" w:rsidP="00B352E4">
      <w:pPr>
        <w:spacing w:after="0"/>
        <w:jc w:val="both"/>
      </w:pPr>
      <w:r>
        <w:t xml:space="preserve">The benchmark log-log OLS regression models, which have the proportion of the car stock which is diesel fuelled as the dependent variable, are reported in </w:t>
      </w:r>
      <w:r w:rsidRPr="00E32E7D">
        <w:rPr>
          <w:highlight w:val="yellow"/>
        </w:rPr>
        <w:t>Table Y</w:t>
      </w:r>
      <w:r>
        <w:t>.</w:t>
      </w:r>
      <w:r w:rsidR="00E32E7D">
        <w:t xml:space="preserve"> The inclusion of </w:t>
      </w:r>
      <w:r w:rsidR="00744ABD">
        <w:t>measurements of nearness to the Republic of Ireland (OLS Models 2 to 4) provide significant improvements to model fit</w:t>
      </w:r>
      <w:r w:rsidR="003C1AB9">
        <w:t xml:space="preserve"> as compared to the base model (OLS Model 1) which only considers the effects of socioeconomic, travel, and household characteristics</w:t>
      </w:r>
      <w:r w:rsidR="00744ABD">
        <w:t xml:space="preserve">. The dummy variables which cover 5km (Beta: 0.241), 10km </w:t>
      </w:r>
      <w:r w:rsidR="00744ABD">
        <w:lastRenderedPageBreak/>
        <w:t>(Beta: 0.232), 15km (Beta: 0.231), and 20km</w:t>
      </w:r>
      <w:r w:rsidR="00D43B10">
        <w:t xml:space="preserve"> (Beta: 0.163)</w:t>
      </w:r>
      <w:r w:rsidR="00744ABD">
        <w:t xml:space="preserve"> buffers from the border all display significant coefficients with the size of these coefficients diminishing as nearest to the Republic of Ireland decreases.</w:t>
      </w:r>
      <w:r w:rsidR="00D43B10">
        <w:t xml:space="preserve"> A similar set of findings is observed </w:t>
      </w:r>
      <w:r w:rsidR="003C1AB9">
        <w:t>for</w:t>
      </w:r>
      <w:r w:rsidR="00D43B10">
        <w:t xml:space="preserve"> the variables measuring </w:t>
      </w:r>
      <w:r w:rsidR="002155E3">
        <w:t>the Euclidean distance to the nearest road crossing (Beta: -0.107), the network distance to the nearest fuel station in the Republic of Ireland (Beta: -0.128)</w:t>
      </w:r>
      <w:r w:rsidR="00381C12">
        <w:t>,</w:t>
      </w:r>
      <w:r w:rsidR="002155E3">
        <w:t xml:space="preserve"> and the network time to the nearest fuel station (Beta: -0.135). These findings indicate that there is a persisting association between the proportion of the car fleet that is diesel fuelled and nearness to the Republic of Ireland, having controlled for the effects of socioeconomic, travel</w:t>
      </w:r>
      <w:r w:rsidR="00381C12">
        <w:t>,</w:t>
      </w:r>
      <w:r w:rsidR="002155E3">
        <w:t xml:space="preserve"> and household characteristics.</w:t>
      </w:r>
    </w:p>
    <w:p w:rsidR="002155E3" w:rsidRDefault="002155E3" w:rsidP="00B352E4">
      <w:pPr>
        <w:spacing w:after="0"/>
        <w:jc w:val="both"/>
      </w:pPr>
    </w:p>
    <w:p w:rsidR="001550AC" w:rsidRDefault="002155E3" w:rsidP="00B352E4">
      <w:pPr>
        <w:spacing w:after="0"/>
        <w:jc w:val="both"/>
      </w:pPr>
      <w:r>
        <w:t xml:space="preserve">Examining the spatial diagnostics which are reported at the bottom of </w:t>
      </w:r>
      <w:r w:rsidRPr="002155E3">
        <w:rPr>
          <w:highlight w:val="yellow"/>
        </w:rPr>
        <w:t>Table Y,</w:t>
      </w:r>
      <w:r>
        <w:t xml:space="preserve"> the </w:t>
      </w:r>
      <w:r w:rsidR="00AB2FC1">
        <w:t xml:space="preserve">robust </w:t>
      </w:r>
      <w:r>
        <w:t xml:space="preserve">Lagrange Multiplier (LM) tests return significant </w:t>
      </w:r>
      <w:r w:rsidR="00D45A68">
        <w:t>results in all instances and indicate</w:t>
      </w:r>
      <w:r w:rsidR="00C20016">
        <w:t>s</w:t>
      </w:r>
      <w:r w:rsidR="00D45A68">
        <w:t xml:space="preserve"> that an extension of the benchmark OLS which corrects for persisting spatial autocorrelation in the model error term (i.e. the </w:t>
      </w:r>
      <w:r w:rsidR="00DC3C72">
        <w:t>SDEM</w:t>
      </w:r>
      <w:r w:rsidR="00D45A68">
        <w:t>) is appropriate. As the model which incorporates the measurement of network time to the nearest fuel station in the Republic of Ireland (i.e. OLS: Model 4) displays the best model fit statistics, it is selected for extension.</w:t>
      </w:r>
    </w:p>
    <w:p w:rsidR="00E47650" w:rsidRDefault="00E47650" w:rsidP="00B352E4">
      <w:pPr>
        <w:spacing w:after="0"/>
        <w:jc w:val="both"/>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9A51F5" w:rsidRPr="00B54BFA" w:rsidTr="00B54BFA">
        <w:trPr>
          <w:trHeight w:val="167"/>
        </w:trPr>
        <w:tc>
          <w:tcPr>
            <w:tcW w:w="8878" w:type="dxa"/>
            <w:gridSpan w:val="6"/>
            <w:tcBorders>
              <w:top w:val="nil"/>
              <w:left w:val="nil"/>
              <w:bottom w:val="nil"/>
              <w:right w:val="nil"/>
            </w:tcBorders>
            <w:shd w:val="clear" w:color="auto" w:fill="auto"/>
            <w:noWrap/>
            <w:vAlign w:val="center"/>
          </w:tcPr>
          <w:p w:rsidR="009A51F5" w:rsidRPr="00B54BFA" w:rsidRDefault="009A51F5" w:rsidP="009A51F5">
            <w:pPr>
              <w:spacing w:after="0" w:line="240" w:lineRule="auto"/>
              <w:jc w:val="both"/>
              <w:rPr>
                <w:rFonts w:eastAsia="Times New Roman" w:cs="Arial"/>
                <w:color w:val="000000"/>
                <w:lang w:eastAsia="en-GB"/>
              </w:rPr>
            </w:pPr>
            <w:r w:rsidRPr="00B54BFA">
              <w:rPr>
                <w:rFonts w:eastAsia="Times New Roman" w:cs="Arial"/>
                <w:b/>
                <w:color w:val="000000"/>
                <w:highlight w:val="yellow"/>
                <w:lang w:eastAsia="en-GB"/>
              </w:rPr>
              <w:t>Table Y:</w:t>
            </w:r>
            <w:r w:rsidRPr="00B54BFA">
              <w:rPr>
                <w:rFonts w:eastAsia="Times New Roman" w:cs="Arial"/>
                <w:b/>
                <w:color w:val="000000"/>
                <w:lang w:eastAsia="en-GB"/>
              </w:rPr>
              <w:t xml:space="preserve"> </w:t>
            </w:r>
            <w:r w:rsidRPr="00B54BFA">
              <w:rPr>
                <w:rFonts w:eastAsia="Times New Roman" w:cs="Arial"/>
                <w:color w:val="000000"/>
                <w:lang w:eastAsia="en-GB"/>
              </w:rPr>
              <w:t>Results of the benchmark log-log OLS regression models with the proportion of the car fleet that is diesel fuelled as the dependent variable</w:t>
            </w:r>
          </w:p>
        </w:tc>
      </w:tr>
      <w:tr w:rsidR="00B54BFA" w:rsidRPr="00B54BFA" w:rsidTr="007D12D4">
        <w:trPr>
          <w:trHeight w:val="167"/>
        </w:trPr>
        <w:tc>
          <w:tcPr>
            <w:tcW w:w="2674" w:type="dxa"/>
            <w:tcBorders>
              <w:top w:val="single" w:sz="4" w:space="0" w:color="auto"/>
              <w:left w:val="nil"/>
              <w:bottom w:val="nil"/>
              <w:right w:val="nil"/>
            </w:tcBorders>
            <w:shd w:val="clear" w:color="auto" w:fill="auto"/>
            <w:noWrap/>
            <w:vAlign w:val="bottom"/>
          </w:tcPr>
          <w:p w:rsidR="009A51F5" w:rsidRPr="00B54BFA" w:rsidRDefault="009A51F5" w:rsidP="00E32E7D">
            <w:pPr>
              <w:spacing w:after="0" w:line="240" w:lineRule="auto"/>
              <w:rPr>
                <w:rFonts w:eastAsia="Times New Roman" w:cs="Times New Roman"/>
                <w:lang w:eastAsia="en-GB"/>
              </w:rPr>
            </w:pPr>
          </w:p>
        </w:tc>
        <w:tc>
          <w:tcPr>
            <w:tcW w:w="1360" w:type="dxa"/>
            <w:tcBorders>
              <w:top w:val="single" w:sz="4" w:space="0" w:color="auto"/>
              <w:left w:val="nil"/>
              <w:right w:val="nil"/>
            </w:tcBorders>
            <w:shd w:val="clear" w:color="auto" w:fill="auto"/>
            <w:noWrap/>
            <w:vAlign w:val="bottom"/>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M1</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M2</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M3</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M4</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M5</w:t>
            </w:r>
          </w:p>
        </w:tc>
      </w:tr>
      <w:tr w:rsidR="00B54BFA" w:rsidRPr="00B54BFA" w:rsidTr="007D12D4">
        <w:trPr>
          <w:trHeight w:val="167"/>
        </w:trPr>
        <w:tc>
          <w:tcPr>
            <w:tcW w:w="2674" w:type="dxa"/>
            <w:tcBorders>
              <w:top w:val="nil"/>
              <w:left w:val="nil"/>
              <w:bottom w:val="single" w:sz="4" w:space="0" w:color="auto"/>
              <w:right w:val="nil"/>
            </w:tcBorders>
            <w:shd w:val="clear" w:color="auto" w:fill="auto"/>
            <w:noWrap/>
            <w:vAlign w:val="bottom"/>
            <w:hideMark/>
          </w:tcPr>
          <w:p w:rsidR="00E47650" w:rsidRPr="00B54BFA" w:rsidRDefault="00E47650" w:rsidP="00E32E7D">
            <w:pPr>
              <w:spacing w:after="0" w:line="240" w:lineRule="auto"/>
              <w:rPr>
                <w:rFonts w:eastAsia="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rsidR="00E47650"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r>
      <w:tr w:rsidR="00B54BFA" w:rsidRPr="00B54BFA" w:rsidTr="00411D3E">
        <w:trPr>
          <w:trHeight w:val="167"/>
        </w:trPr>
        <w:tc>
          <w:tcPr>
            <w:tcW w:w="2674" w:type="dxa"/>
            <w:tcBorders>
              <w:top w:val="single" w:sz="4" w:space="0" w:color="auto"/>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4.293**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(0.342)</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4.580**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(0.275)</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6.007**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(0.276)</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6.277**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(0.277)</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5.259**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(0.272)</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(0.057)</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-0.094**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0.152**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0.928**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0.698**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(0.067)</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(0.066)</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411D3E" w:rsidRPr="00B54BFA" w:rsidTr="00411D3E">
        <w:trPr>
          <w:trHeight w:val="167"/>
        </w:trPr>
        <w:tc>
          <w:tcPr>
            <w:tcW w:w="2674"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360" w:type="dxa"/>
            <w:tcBorders>
              <w:top w:val="nil"/>
              <w:left w:val="nil"/>
              <w:bottom w:val="nil"/>
              <w:right w:val="nil"/>
            </w:tcBorders>
            <w:shd w:val="clear" w:color="auto" w:fill="auto"/>
            <w:noWrap/>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0.241**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(0.013)</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10km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lastRenderedPageBreak/>
              <w:t>(0.019)</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15km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(0.022)</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20km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(0.021)</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Distance to Crossing</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Time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Model Fit</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w:t>
            </w:r>
            <w:r w:rsidRPr="00B54BFA">
              <w:rPr>
                <w:rFonts w:eastAsia="Times New Roman" w:cs="Arial"/>
                <w:color w:val="000000"/>
                <w:vertAlign w:val="superscript"/>
                <w:lang w:eastAsia="en-GB"/>
              </w:rPr>
              <w:t>2</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0.784</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0.871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0.867</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Log Likelihood</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448.701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648.562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670.487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678.105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663.179</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AIC</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-875.403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-1267.12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-1316.97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-1332.21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-1302.36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Spatial Diagnostics</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(lag)</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17.355**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9.132**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5.673**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5.549**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5.718*</w:t>
            </w:r>
          </w:p>
        </w:tc>
      </w:tr>
      <w:tr w:rsidR="00B54BFA" w:rsidRPr="00B54BFA" w:rsidTr="00411D3E">
        <w:trPr>
          <w:trHeight w:val="167"/>
        </w:trPr>
        <w:tc>
          <w:tcPr>
            <w:tcW w:w="2674" w:type="dxa"/>
            <w:tcBorders>
              <w:top w:val="nil"/>
              <w:left w:val="nil"/>
              <w:bottom w:val="single" w:sz="4" w:space="0" w:color="auto"/>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761.4268**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501.963**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524.648**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514.523**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496.497**</w:t>
            </w:r>
          </w:p>
        </w:tc>
      </w:tr>
      <w:tr w:rsidR="009A51F5" w:rsidRPr="00B54BFA" w:rsidTr="00B54BFA">
        <w:trPr>
          <w:trHeight w:val="167"/>
        </w:trPr>
        <w:tc>
          <w:tcPr>
            <w:tcW w:w="8878" w:type="dxa"/>
            <w:gridSpan w:val="6"/>
            <w:tcBorders>
              <w:top w:val="single" w:sz="4" w:space="0" w:color="auto"/>
              <w:left w:val="nil"/>
              <w:bottom w:val="nil"/>
              <w:right w:val="nil"/>
            </w:tcBorders>
            <w:shd w:val="clear" w:color="auto" w:fill="auto"/>
            <w:noWrap/>
          </w:tcPr>
          <w:p w:rsidR="009A51F5" w:rsidRPr="00B54BFA" w:rsidRDefault="009A51F5" w:rsidP="00E32E7D">
            <w:pPr>
              <w:spacing w:after="0" w:line="240" w:lineRule="auto"/>
              <w:jc w:val="right"/>
              <w:rPr>
                <w:rFonts w:eastAsia="Times New Roman" w:cs="Arial"/>
                <w:color w:val="000000"/>
                <w:lang w:eastAsia="en-GB"/>
              </w:rPr>
            </w:pPr>
          </w:p>
        </w:tc>
      </w:tr>
    </w:tbl>
    <w:p w:rsidR="00E47650" w:rsidRDefault="00E47650" w:rsidP="00B352E4">
      <w:pPr>
        <w:spacing w:after="0"/>
        <w:jc w:val="both"/>
      </w:pPr>
    </w:p>
    <w:p w:rsidR="00B73454" w:rsidRDefault="00D45A68" w:rsidP="00B352E4">
      <w:pPr>
        <w:spacing w:after="0"/>
        <w:jc w:val="both"/>
      </w:pPr>
      <w:r>
        <w:t xml:space="preserve">The results of the </w:t>
      </w:r>
      <w:r w:rsidR="00DC3C72">
        <w:t xml:space="preserve">SDEM </w:t>
      </w:r>
      <w:r>
        <w:t>are rep</w:t>
      </w:r>
      <w:r w:rsidR="00DC3C72">
        <w:t xml:space="preserve">orted in </w:t>
      </w:r>
      <w:r w:rsidR="00DC3C72" w:rsidRPr="00DC3C72">
        <w:rPr>
          <w:highlight w:val="yellow"/>
        </w:rPr>
        <w:t>Table Y</w:t>
      </w:r>
      <w:r w:rsidR="00DC3C72">
        <w:t>. In terms of the socioeconomic characteristics included in the model, the mean age of the population holds a significa</w:t>
      </w:r>
      <w:r w:rsidR="003A646E">
        <w:t>nt direct effect (Beta</w:t>
      </w:r>
      <w:r w:rsidR="00812AAA">
        <w:t xml:space="preserve">: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rsidR="00B73454" w:rsidRDefault="00B73454" w:rsidP="00B352E4">
      <w:pPr>
        <w:spacing w:after="0"/>
        <w:jc w:val="both"/>
      </w:pPr>
    </w:p>
    <w:p w:rsidR="003D678B" w:rsidRDefault="00812AAA" w:rsidP="00B352E4">
      <w:pPr>
        <w:spacing w:after="0"/>
        <w:jc w:val="both"/>
      </w:pPr>
      <w:r>
        <w:t xml:space="preserve">The travel characteristics </w:t>
      </w:r>
      <w:r w:rsidR="00B73454">
        <w:t xml:space="preserve">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w:t>
      </w:r>
      <w:r w:rsidR="00F1312C">
        <w:t xml:space="preserve">increased fuel economy that diesel cars offers. However, this issue is likely captured by </w:t>
      </w:r>
      <w:r w:rsidR="003D678B">
        <w:t>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rsidR="003D678B" w:rsidRDefault="003D678B" w:rsidP="00B352E4">
      <w:pPr>
        <w:spacing w:after="0"/>
        <w:jc w:val="both"/>
      </w:pPr>
    </w:p>
    <w:p w:rsidR="003D678B" w:rsidRDefault="00DF7501" w:rsidP="00B352E4">
      <w:pPr>
        <w:spacing w:after="0"/>
        <w:jc w:val="both"/>
      </w:pPr>
      <w:r>
        <w:t xml:space="preserve">The </w:t>
      </w:r>
      <w:r w:rsidR="00D626C2">
        <w:t>variable measuring population density holds a significant direct (Beta: -0.022) and indirect (Bet</w:t>
      </w:r>
      <w:r w:rsidR="00815918">
        <w:t xml:space="preserve">a: -0.028) effect in the model, implying both density within and in the vicinity of areas which affect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w:t>
      </w:r>
      <w:r w:rsidR="00C06A86">
        <w:t xml:space="preserve">the </w:t>
      </w:r>
      <w:r w:rsidR="00815918">
        <w:t>proportion of households that are rented social</w:t>
      </w:r>
      <w:r w:rsidR="00C06A86">
        <w:t>ly</w:t>
      </w:r>
      <w:r w:rsidR="00815918">
        <w:t xml:space="preserve"> (e.g. from a local authority) and are classified as flats hold significant positive direct effects, through the size of their coefficients indicates</w:t>
      </w:r>
      <w:r w:rsidR="00553F10">
        <w:t xml:space="preserve"> that they are</w:t>
      </w:r>
      <w:r w:rsidR="00815918">
        <w:t xml:space="preserve"> of secondary importance. </w:t>
      </w:r>
    </w:p>
    <w:p w:rsidR="007D12D4" w:rsidRDefault="007D12D4" w:rsidP="00B352E4">
      <w:pPr>
        <w:spacing w:after="0"/>
        <w:jc w:val="both"/>
      </w:pPr>
    </w:p>
    <w:tbl>
      <w:tblPr>
        <w:tblW w:w="7797" w:type="dxa"/>
        <w:jc w:val="center"/>
        <w:tblLook w:val="04A0" w:firstRow="1" w:lastRow="0" w:firstColumn="1" w:lastColumn="0" w:noHBand="0" w:noVBand="1"/>
      </w:tblPr>
      <w:tblGrid>
        <w:gridCol w:w="4287"/>
        <w:gridCol w:w="1242"/>
        <w:gridCol w:w="1134"/>
        <w:gridCol w:w="1134"/>
      </w:tblGrid>
      <w:tr w:rsidR="007D12D4" w:rsidRPr="001A264F" w:rsidTr="007D12D4">
        <w:trPr>
          <w:trHeight w:val="300"/>
          <w:jc w:val="center"/>
        </w:trPr>
        <w:tc>
          <w:tcPr>
            <w:tcW w:w="7797" w:type="dxa"/>
            <w:gridSpan w:val="4"/>
            <w:tcBorders>
              <w:left w:val="nil"/>
              <w:bottom w:val="nil"/>
              <w:right w:val="nil"/>
            </w:tcBorders>
            <w:shd w:val="clear" w:color="auto" w:fill="auto"/>
            <w:noWrap/>
            <w:vAlign w:val="center"/>
          </w:tcPr>
          <w:p w:rsidR="007D12D4" w:rsidRPr="007D12D4" w:rsidRDefault="007D12D4" w:rsidP="007D12D4">
            <w:pPr>
              <w:spacing w:after="0" w:line="240" w:lineRule="auto"/>
              <w:jc w:val="both"/>
              <w:rPr>
                <w:rFonts w:ascii="Calibri" w:eastAsia="Times New Roman" w:hAnsi="Calibri" w:cs="Arial"/>
                <w:color w:val="000000"/>
                <w:lang w:eastAsia="en-GB"/>
              </w:rPr>
            </w:pPr>
            <w:bookmarkStart w:id="0" w:name="_GoBack" w:colFirst="0" w:colLast="0"/>
            <w:r w:rsidRPr="007D12D4">
              <w:rPr>
                <w:rFonts w:ascii="Calibri" w:eastAsia="Times New Roman" w:hAnsi="Calibri" w:cs="Arial"/>
                <w:b/>
                <w:color w:val="000000"/>
                <w:highlight w:val="yellow"/>
                <w:lang w:eastAsia="en-GB"/>
              </w:rPr>
              <w:t>Table Y:</w:t>
            </w:r>
            <w:r>
              <w:rPr>
                <w:rFonts w:ascii="Calibri" w:eastAsia="Times New Roman" w:hAnsi="Calibri" w:cs="Arial"/>
                <w:b/>
                <w:color w:val="000000"/>
                <w:lang w:eastAsia="en-GB"/>
              </w:rPr>
              <w:t xml:space="preserve"> </w:t>
            </w:r>
            <w:r>
              <w:rPr>
                <w:rFonts w:ascii="Calibri" w:eastAsia="Times New Roman" w:hAnsi="Calibri" w:cs="Arial"/>
                <w:color w:val="000000"/>
                <w:lang w:eastAsia="en-GB"/>
              </w:rPr>
              <w:t>Results of the Spatial Durbin Error Model with the proportion of the car fleet that is fuelled by diesel as the dependent variable</w:t>
            </w:r>
          </w:p>
        </w:tc>
      </w:tr>
      <w:bookmarkEnd w:id="0"/>
      <w:tr w:rsidR="001A264F" w:rsidRPr="001A264F" w:rsidTr="007D12D4">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rsidR="001A264F" w:rsidRPr="001A264F" w:rsidRDefault="001A264F" w:rsidP="001A264F">
            <w:pPr>
              <w:spacing w:after="0" w:line="240" w:lineRule="auto"/>
              <w:rPr>
                <w:rFonts w:ascii="Times New Roman" w:eastAsia="Times New Roman" w:hAnsi="Times New Roman" w:cs="Times New Roman"/>
                <w:sz w:val="24"/>
                <w:szCs w:val="24"/>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Indirect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Total</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single" w:sz="4" w:space="0" w:color="auto"/>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242"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-0.154</w:t>
            </w:r>
            <w:r w:rsidR="00DC60AF">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-0.225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0.130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0.070</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0.047</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0.004</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-0.067</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-0.185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-0.049</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0.064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-0.161</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0.073</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0.087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0.146</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0.418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0.127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0.620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0.152</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0.013</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0.011</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0.006</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-0.127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0.025</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-0.139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0784D"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Spatial Interaction Effect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7D12D4" w:rsidP="00D0784D">
            <w:pPr>
              <w:spacing w:after="0" w:line="240" w:lineRule="auto"/>
              <w:rPr>
                <w:rFonts w:eastAsia="Times New Roman" w:cs="Arial"/>
                <w:color w:val="000000"/>
                <w:lang w:eastAsia="en-GB"/>
              </w:rPr>
            </w:pPr>
            <w:r>
              <w:rPr>
                <w:rFonts w:eastAsia="Times New Roman" w:cs="Arial"/>
                <w:color w:val="000000"/>
                <w:lang w:eastAsia="en-GB"/>
              </w:rPr>
              <w:t>λ</w:t>
            </w:r>
          </w:p>
        </w:tc>
        <w:tc>
          <w:tcPr>
            <w:tcW w:w="1242" w:type="dxa"/>
            <w:tcBorders>
              <w:top w:val="nil"/>
              <w:left w:val="nil"/>
              <w:bottom w:val="nil"/>
              <w:right w:val="nil"/>
            </w:tcBorders>
            <w:shd w:val="clear" w:color="auto" w:fill="auto"/>
            <w:noWrap/>
            <w:vAlign w:val="bottom"/>
          </w:tcPr>
          <w:p w:rsidR="00D0784D"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0.781**</w:t>
            </w:r>
          </w:p>
          <w:p w:rsidR="007D12D4" w:rsidRPr="001A264F"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(0.024)</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C60AF"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Model Fit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DC60AF" w:rsidRDefault="00DC60AF" w:rsidP="00D0784D">
            <w:pPr>
              <w:spacing w:after="0" w:line="240" w:lineRule="auto"/>
              <w:rPr>
                <w:rFonts w:eastAsia="Times New Roman" w:cs="Arial"/>
                <w:color w:val="000000"/>
                <w:lang w:eastAsia="en-GB"/>
              </w:rPr>
            </w:pPr>
            <w:r w:rsidRPr="00DC60AF">
              <w:rPr>
                <w:rFonts w:eastAsia="Times New Roman" w:cs="Arial"/>
                <w:color w:val="000000"/>
                <w:lang w:eastAsia="en-GB"/>
              </w:rPr>
              <w:t>Log Likelihood</w:t>
            </w:r>
          </w:p>
        </w:tc>
        <w:tc>
          <w:tcPr>
            <w:tcW w:w="1242" w:type="dxa"/>
            <w:tcBorders>
              <w:top w:val="nil"/>
              <w:left w:val="nil"/>
              <w:bottom w:val="nil"/>
              <w:right w:val="nil"/>
            </w:tcBorders>
            <w:shd w:val="clear" w:color="auto" w:fill="auto"/>
            <w:noWrap/>
            <w:vAlign w:val="bottom"/>
          </w:tcPr>
          <w:p w:rsidR="00D0784D" w:rsidRPr="00DC60AF" w:rsidRDefault="00DC60AF" w:rsidP="007D12D4">
            <w:pPr>
              <w:pStyle w:val="HTMLPreformatted"/>
              <w:shd w:val="clear" w:color="auto" w:fill="FFFFFF"/>
              <w:wordWrap w:val="0"/>
              <w:spacing w:line="225" w:lineRule="atLeast"/>
              <w:jc w:val="right"/>
              <w:rPr>
                <w:rFonts w:asciiTheme="minorHAnsi" w:hAnsiTheme="minorHAnsi"/>
                <w:color w:val="000000"/>
                <w:sz w:val="22"/>
                <w:szCs w:val="22"/>
              </w:rPr>
            </w:pPr>
            <w:r w:rsidRPr="00DC60AF">
              <w:rPr>
                <w:rFonts w:asciiTheme="minorHAnsi" w:hAnsiTheme="minorHAnsi"/>
                <w:color w:val="000000"/>
                <w:sz w:val="22"/>
                <w:szCs w:val="22"/>
              </w:rPr>
              <w:t>1053.36</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C60AF" w:rsidRPr="001A264F" w:rsidTr="007D12D4">
        <w:trPr>
          <w:trHeight w:val="300"/>
          <w:jc w:val="center"/>
        </w:trPr>
        <w:tc>
          <w:tcPr>
            <w:tcW w:w="4287" w:type="dxa"/>
            <w:tcBorders>
              <w:top w:val="nil"/>
              <w:left w:val="nil"/>
              <w:bottom w:val="single" w:sz="4" w:space="0" w:color="auto"/>
              <w:right w:val="nil"/>
            </w:tcBorders>
            <w:shd w:val="clear" w:color="auto" w:fill="auto"/>
            <w:noWrap/>
          </w:tcPr>
          <w:p w:rsidR="00DC60AF" w:rsidRDefault="00DC60AF" w:rsidP="00D0784D">
            <w:pPr>
              <w:spacing w:after="0" w:line="240" w:lineRule="auto"/>
              <w:rPr>
                <w:rFonts w:eastAsia="Times New Roman" w:cs="Arial"/>
                <w:color w:val="000000"/>
                <w:lang w:eastAsia="en-GB"/>
              </w:rPr>
            </w:pPr>
            <w:r>
              <w:rPr>
                <w:rFonts w:eastAsia="Times New Roman" w:cs="Arial"/>
                <w:color w:val="000000"/>
                <w:lang w:eastAsia="en-GB"/>
              </w:rPr>
              <w:t>AIC</w:t>
            </w:r>
          </w:p>
        </w:tc>
        <w:tc>
          <w:tcPr>
            <w:tcW w:w="1242" w:type="dxa"/>
            <w:tcBorders>
              <w:top w:val="nil"/>
              <w:left w:val="nil"/>
              <w:bottom w:val="single" w:sz="4" w:space="0" w:color="auto"/>
              <w:right w:val="nil"/>
            </w:tcBorders>
            <w:shd w:val="clear" w:color="auto" w:fill="auto"/>
            <w:noWrap/>
            <w:vAlign w:val="bottom"/>
          </w:tcPr>
          <w:p w:rsidR="00DC60AF" w:rsidRPr="007D12D4" w:rsidRDefault="00DC60AF" w:rsidP="007D1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right"/>
              <w:rPr>
                <w:rFonts w:eastAsia="Times New Roman" w:cs="Courier New"/>
                <w:color w:val="000000"/>
                <w:lang w:eastAsia="en-GB"/>
              </w:rPr>
            </w:pPr>
            <w:r w:rsidRPr="00DC60AF">
              <w:rPr>
                <w:rFonts w:eastAsia="Times New Roman" w:cs="Courier New"/>
                <w:color w:val="000000"/>
                <w:lang w:eastAsia="en-GB"/>
              </w:rPr>
              <w:t>-2056.7</w:t>
            </w: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r>
      <w:tr w:rsidR="00DC60AF" w:rsidRPr="001A264F" w:rsidTr="007D12D4">
        <w:trPr>
          <w:trHeight w:val="300"/>
          <w:jc w:val="center"/>
        </w:trPr>
        <w:tc>
          <w:tcPr>
            <w:tcW w:w="4287" w:type="dxa"/>
            <w:tcBorders>
              <w:top w:val="single" w:sz="4" w:space="0" w:color="auto"/>
              <w:left w:val="nil"/>
              <w:bottom w:val="nil"/>
              <w:right w:val="nil"/>
            </w:tcBorders>
            <w:shd w:val="clear" w:color="auto" w:fill="auto"/>
            <w:noWrap/>
          </w:tcPr>
          <w:p w:rsidR="00DC60AF" w:rsidRDefault="00DC60AF" w:rsidP="00D0784D">
            <w:pPr>
              <w:spacing w:after="0" w:line="240" w:lineRule="auto"/>
              <w:rPr>
                <w:rFonts w:eastAsia="Times New Roman" w:cs="Arial"/>
                <w:color w:val="000000"/>
                <w:lang w:eastAsia="en-GB"/>
              </w:rPr>
            </w:pPr>
          </w:p>
        </w:tc>
        <w:tc>
          <w:tcPr>
            <w:tcW w:w="1242"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r>
    </w:tbl>
    <w:p w:rsidR="001A264F" w:rsidRDefault="001A264F" w:rsidP="00B352E4">
      <w:pPr>
        <w:spacing w:after="0"/>
        <w:jc w:val="both"/>
      </w:pPr>
    </w:p>
    <w:sectPr w:rsidR="001A2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23"/>
    <w:rsid w:val="00047122"/>
    <w:rsid w:val="00095000"/>
    <w:rsid w:val="000C0F74"/>
    <w:rsid w:val="001550AC"/>
    <w:rsid w:val="001A264F"/>
    <w:rsid w:val="001F7DE2"/>
    <w:rsid w:val="002155E3"/>
    <w:rsid w:val="002464B0"/>
    <w:rsid w:val="00277B55"/>
    <w:rsid w:val="002D6B92"/>
    <w:rsid w:val="00381C12"/>
    <w:rsid w:val="003A646E"/>
    <w:rsid w:val="003C1AB9"/>
    <w:rsid w:val="003D678B"/>
    <w:rsid w:val="003E02FD"/>
    <w:rsid w:val="00411D3E"/>
    <w:rsid w:val="004A7594"/>
    <w:rsid w:val="004F1ACF"/>
    <w:rsid w:val="00517F88"/>
    <w:rsid w:val="00553F10"/>
    <w:rsid w:val="00566392"/>
    <w:rsid w:val="00586FDE"/>
    <w:rsid w:val="005A29BD"/>
    <w:rsid w:val="005F4CFB"/>
    <w:rsid w:val="006A1DA6"/>
    <w:rsid w:val="00744ABD"/>
    <w:rsid w:val="00777B4A"/>
    <w:rsid w:val="007865C2"/>
    <w:rsid w:val="007B3E2A"/>
    <w:rsid w:val="007D12D4"/>
    <w:rsid w:val="007E281C"/>
    <w:rsid w:val="00812AAA"/>
    <w:rsid w:val="00815918"/>
    <w:rsid w:val="009A51F5"/>
    <w:rsid w:val="009A52A9"/>
    <w:rsid w:val="00AB2FC1"/>
    <w:rsid w:val="00B25F65"/>
    <w:rsid w:val="00B352E4"/>
    <w:rsid w:val="00B54BFA"/>
    <w:rsid w:val="00B73454"/>
    <w:rsid w:val="00BB57D8"/>
    <w:rsid w:val="00BD020B"/>
    <w:rsid w:val="00C06A86"/>
    <w:rsid w:val="00C20016"/>
    <w:rsid w:val="00C61300"/>
    <w:rsid w:val="00D0784D"/>
    <w:rsid w:val="00D1290B"/>
    <w:rsid w:val="00D43B10"/>
    <w:rsid w:val="00D45A68"/>
    <w:rsid w:val="00D626C2"/>
    <w:rsid w:val="00D70811"/>
    <w:rsid w:val="00DC3C72"/>
    <w:rsid w:val="00DC60AF"/>
    <w:rsid w:val="00DF7501"/>
    <w:rsid w:val="00E32E7D"/>
    <w:rsid w:val="00E47650"/>
    <w:rsid w:val="00E635A1"/>
    <w:rsid w:val="00F1312C"/>
    <w:rsid w:val="00F20B6F"/>
    <w:rsid w:val="00FB78D7"/>
    <w:rsid w:val="00FE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B8F17-AC63-4D28-B5F7-57B0D5C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C60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0542">
      <w:bodyDiv w:val="1"/>
      <w:marLeft w:val="0"/>
      <w:marRight w:val="0"/>
      <w:marTop w:val="0"/>
      <w:marBottom w:val="0"/>
      <w:divBdr>
        <w:top w:val="none" w:sz="0" w:space="0" w:color="auto"/>
        <w:left w:val="none" w:sz="0" w:space="0" w:color="auto"/>
        <w:bottom w:val="none" w:sz="0" w:space="0" w:color="auto"/>
        <w:right w:val="none" w:sz="0" w:space="0" w:color="auto"/>
      </w:divBdr>
    </w:div>
    <w:div w:id="785730977">
      <w:bodyDiv w:val="1"/>
      <w:marLeft w:val="0"/>
      <w:marRight w:val="0"/>
      <w:marTop w:val="0"/>
      <w:marBottom w:val="0"/>
      <w:divBdr>
        <w:top w:val="none" w:sz="0" w:space="0" w:color="auto"/>
        <w:left w:val="none" w:sz="0" w:space="0" w:color="auto"/>
        <w:bottom w:val="none" w:sz="0" w:space="0" w:color="auto"/>
        <w:right w:val="none" w:sz="0" w:space="0" w:color="auto"/>
      </w:divBdr>
    </w:div>
    <w:div w:id="907694633">
      <w:bodyDiv w:val="1"/>
      <w:marLeft w:val="0"/>
      <w:marRight w:val="0"/>
      <w:marTop w:val="0"/>
      <w:marBottom w:val="0"/>
      <w:divBdr>
        <w:top w:val="none" w:sz="0" w:space="0" w:color="auto"/>
        <w:left w:val="none" w:sz="0" w:space="0" w:color="auto"/>
        <w:bottom w:val="none" w:sz="0" w:space="0" w:color="auto"/>
        <w:right w:val="none" w:sz="0" w:space="0" w:color="auto"/>
      </w:divBdr>
    </w:div>
    <w:div w:id="988099365">
      <w:bodyDiv w:val="1"/>
      <w:marLeft w:val="0"/>
      <w:marRight w:val="0"/>
      <w:marTop w:val="0"/>
      <w:marBottom w:val="0"/>
      <w:divBdr>
        <w:top w:val="none" w:sz="0" w:space="0" w:color="auto"/>
        <w:left w:val="none" w:sz="0" w:space="0" w:color="auto"/>
        <w:bottom w:val="none" w:sz="0" w:space="0" w:color="auto"/>
        <w:right w:val="none" w:sz="0" w:space="0" w:color="auto"/>
      </w:divBdr>
    </w:div>
    <w:div w:id="1027676477">
      <w:bodyDiv w:val="1"/>
      <w:marLeft w:val="0"/>
      <w:marRight w:val="0"/>
      <w:marTop w:val="0"/>
      <w:marBottom w:val="0"/>
      <w:divBdr>
        <w:top w:val="none" w:sz="0" w:space="0" w:color="auto"/>
        <w:left w:val="none" w:sz="0" w:space="0" w:color="auto"/>
        <w:bottom w:val="none" w:sz="0" w:space="0" w:color="auto"/>
        <w:right w:val="none" w:sz="0" w:space="0" w:color="auto"/>
      </w:divBdr>
    </w:div>
    <w:div w:id="15170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5</cp:revision>
  <dcterms:created xsi:type="dcterms:W3CDTF">2017-07-25T14:12:00Z</dcterms:created>
  <dcterms:modified xsi:type="dcterms:W3CDTF">2017-07-25T15:33:00Z</dcterms:modified>
</cp:coreProperties>
</file>