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0D8" w:rsidRDefault="00A87106" w:rsidP="003D789A">
      <w:pPr>
        <w:spacing w:after="0"/>
        <w:jc w:val="both"/>
      </w:pPr>
      <w:r>
        <w:t>Car Fleet Composition</w:t>
      </w:r>
    </w:p>
    <w:p w:rsidR="00A87106" w:rsidRDefault="00A87106" w:rsidP="003D789A">
      <w:pPr>
        <w:spacing w:after="0"/>
        <w:jc w:val="both"/>
      </w:pPr>
    </w:p>
    <w:p w:rsidR="00A87106" w:rsidRDefault="00A87106" w:rsidP="003D789A">
      <w:pPr>
        <w:spacing w:after="0"/>
        <w:jc w:val="both"/>
      </w:pPr>
      <w:r>
        <w:t xml:space="preserve">The structure of a local car fleet is likely to be contingent on a number of situational factors that make the ownership and use of certain types of </w:t>
      </w:r>
      <w:r w:rsidR="004B488B">
        <w:t>car</w:t>
      </w:r>
      <w:r>
        <w:t xml:space="preserve"> more or less </w:t>
      </w:r>
      <w:r w:rsidR="00435875">
        <w:t>suitable</w:t>
      </w:r>
      <w:r>
        <w:t xml:space="preserve">. </w:t>
      </w:r>
      <w:r w:rsidR="004B488B">
        <w:t xml:space="preserve">These situation factors cover such issues as the socioeconomic characteristics of the resident population, the features of the transport system, and the presence of policies designed to promote or hinder particular car types. </w:t>
      </w:r>
      <w:r w:rsidR="003D789A">
        <w:t xml:space="preserve">At a general level, </w:t>
      </w:r>
      <w:r w:rsidR="00323607">
        <w:t xml:space="preserve">the rate of car ownership </w:t>
      </w:r>
      <w:r w:rsidR="003D789A">
        <w:t xml:space="preserve">and its association with household income has been examined </w:t>
      </w:r>
      <w:r w:rsidR="00323607">
        <w:t>(</w:t>
      </w:r>
      <w:r w:rsidR="00323607" w:rsidRPr="00323607">
        <w:rPr>
          <w:color w:val="FF0000"/>
        </w:rPr>
        <w:t>Clark, 2007; Clark and Finley, 2010</w:t>
      </w:r>
      <w:r w:rsidR="00323607">
        <w:t xml:space="preserve">), with </w:t>
      </w:r>
      <w:r w:rsidR="003D789A">
        <w:t xml:space="preserve">substantial differences in income elasticity levels across regions </w:t>
      </w:r>
      <w:r w:rsidR="00323607">
        <w:t xml:space="preserve">found </w:t>
      </w:r>
      <w:r w:rsidR="003D789A">
        <w:t xml:space="preserve">to be present, indicating that a link between car ownership and income is spatial non-stationary. </w:t>
      </w:r>
      <w:r w:rsidR="00323607">
        <w:t>Changes in the rate of car ownership in particular areas have also be</w:t>
      </w:r>
      <w:r w:rsidR="00A8776A">
        <w:t>en</w:t>
      </w:r>
      <w:r w:rsidR="00323607">
        <w:t xml:space="preserve"> found to be moderated by the rate</w:t>
      </w:r>
      <w:r w:rsidR="00A8776A">
        <w:t xml:space="preserve"> of ownership</w:t>
      </w:r>
      <w:r w:rsidR="00323607">
        <w:t xml:space="preserve"> observed in neighbouring areas (</w:t>
      </w:r>
      <w:r w:rsidR="00323607" w:rsidRPr="00323607">
        <w:rPr>
          <w:color w:val="FF0000"/>
        </w:rPr>
        <w:t>Clark and Rey, 2017</w:t>
      </w:r>
      <w:r w:rsidR="00323607">
        <w:t xml:space="preserve">), indicating that </w:t>
      </w:r>
      <w:r w:rsidR="00A8776A">
        <w:t xml:space="preserve">transitions between levels of ownership are effected by wider environmental contexts. </w:t>
      </w:r>
    </w:p>
    <w:p w:rsidR="00A8776A" w:rsidRDefault="00A8776A" w:rsidP="003D789A">
      <w:pPr>
        <w:spacing w:after="0"/>
        <w:jc w:val="both"/>
      </w:pPr>
    </w:p>
    <w:p w:rsidR="00A8776A" w:rsidRDefault="00A8776A" w:rsidP="003D789A">
      <w:pPr>
        <w:spacing w:after="0"/>
        <w:jc w:val="both"/>
      </w:pPr>
      <w:r>
        <w:t>Recently, research has expanded into investigating the geographical variation in the different types of car that are owned. Car body type (e.g. salon, hatchback, and sports) represents a visibly disti</w:t>
      </w:r>
      <w:r w:rsidR="001947CC">
        <w:t>nctive characteristic</w:t>
      </w:r>
      <w:r>
        <w:t xml:space="preserve"> of the local vehicle fleet, with certain chassis designed with particular environments in mind. </w:t>
      </w:r>
      <w:proofErr w:type="spellStart"/>
      <w:r w:rsidR="0021556E" w:rsidRPr="00DD4D64">
        <w:rPr>
          <w:color w:val="FF0000"/>
        </w:rPr>
        <w:t>Adjemain</w:t>
      </w:r>
      <w:proofErr w:type="spellEnd"/>
      <w:r w:rsidR="0021556E" w:rsidRPr="00DD4D64">
        <w:rPr>
          <w:color w:val="FF0000"/>
        </w:rPr>
        <w:t xml:space="preserve"> et al. (2010)</w:t>
      </w:r>
      <w:r w:rsidR="0021556E">
        <w:t xml:space="preserve"> examined the </w:t>
      </w:r>
      <w:r w:rsidR="00EC5BD7">
        <w:t>occurrence</w:t>
      </w:r>
      <w:r w:rsidR="0021556E">
        <w:t xml:space="preserve"> of car body types across census tracts of California and found that such factors as income level, education level, age profile, ethnic makeup, and marria</w:t>
      </w:r>
      <w:r w:rsidR="00995B63">
        <w:t xml:space="preserve">ge status of the population are useful in explaining </w:t>
      </w:r>
      <w:r w:rsidR="0021556E">
        <w:t xml:space="preserve">the presence of certain car variations. Moreover, their analysis demonstrates that ownership rates of pickup </w:t>
      </w:r>
      <w:r w:rsidR="00995B63">
        <w:t>trucks</w:t>
      </w:r>
      <w:r w:rsidR="0021556E">
        <w:t xml:space="preserve">, station wagons, and sports utility vehicles tend to be spatially dependent, whereby the rates in one area are connected with the rates displayed in neighbouring areas. This spatial dependence could be generated by social conformity, </w:t>
      </w:r>
      <w:r w:rsidR="00731611">
        <w:t>by which</w:t>
      </w:r>
      <w:r w:rsidR="0021556E">
        <w:t xml:space="preserve"> </w:t>
      </w:r>
      <w:r w:rsidR="00731611">
        <w:t>preferences for car body type</w:t>
      </w:r>
      <w:r w:rsidR="0021556E">
        <w:t xml:space="preserve"> are informed by the popularity of </w:t>
      </w:r>
      <w:r w:rsidR="00731611">
        <w:t>body types i</w:t>
      </w:r>
      <w:r w:rsidR="00995B63">
        <w:t>n the wider region.</w:t>
      </w:r>
      <w:r w:rsidR="0021556E">
        <w:t xml:space="preserve"> This premise</w:t>
      </w:r>
      <w:r w:rsidR="00DD4D64">
        <w:t xml:space="preserve"> </w:t>
      </w:r>
      <w:r w:rsidR="0021556E">
        <w:t xml:space="preserve">is supported by the work of </w:t>
      </w:r>
      <w:r w:rsidR="00D81C83" w:rsidRPr="00D81C83">
        <w:rPr>
          <w:color w:val="FF0000"/>
        </w:rPr>
        <w:t xml:space="preserve">Lansley (2016), </w:t>
      </w:r>
      <w:r w:rsidR="00D81C83">
        <w:t xml:space="preserve">whose examination of car body type across the neighbourhoods of the UK found that certain types of vehicle were connected with particular socioeconomic classes, such as the rate of luxury car ownership being associated with the rate of the population in managerial or professional employment. </w:t>
      </w:r>
    </w:p>
    <w:p w:rsidR="00D81C83" w:rsidRDefault="00D81C83" w:rsidP="003D789A">
      <w:pPr>
        <w:spacing w:after="0"/>
        <w:jc w:val="both"/>
      </w:pPr>
    </w:p>
    <w:p w:rsidR="002D0D52" w:rsidRDefault="00D81C83" w:rsidP="003D789A">
      <w:pPr>
        <w:spacing w:after="0"/>
        <w:jc w:val="both"/>
      </w:pPr>
      <w:r>
        <w:t xml:space="preserve">The prevalence of different powertrains within local fleets has also </w:t>
      </w:r>
      <w:r w:rsidR="00EC5BD7">
        <w:t xml:space="preserve">been investigated to determine what conditions </w:t>
      </w:r>
      <w:r w:rsidR="001947CC">
        <w:t>are linked to</w:t>
      </w:r>
      <w:r w:rsidR="00EC5BD7">
        <w:t xml:space="preserve"> registrations</w:t>
      </w:r>
      <w:r w:rsidR="00316BED">
        <w:t xml:space="preserve"> of alternatively fuelled cars. </w:t>
      </w:r>
      <w:r w:rsidR="00EC5BD7">
        <w:t>The rate of Hybrid Electric Vehicles</w:t>
      </w:r>
      <w:r w:rsidR="002D0D52">
        <w:t xml:space="preserve"> (HEVs)</w:t>
      </w:r>
      <w:r w:rsidR="00EC5BD7">
        <w:t xml:space="preserve"> (</w:t>
      </w:r>
      <w:proofErr w:type="spellStart"/>
      <w:r w:rsidR="00731611" w:rsidRPr="00731611">
        <w:rPr>
          <w:color w:val="FF0000"/>
        </w:rPr>
        <w:t>Dimatulac</w:t>
      </w:r>
      <w:proofErr w:type="spellEnd"/>
      <w:r w:rsidR="00731611" w:rsidRPr="00731611">
        <w:rPr>
          <w:color w:val="FF0000"/>
        </w:rPr>
        <w:t xml:space="preserve"> and </w:t>
      </w:r>
      <w:proofErr w:type="spellStart"/>
      <w:r w:rsidR="00731611" w:rsidRPr="00731611">
        <w:rPr>
          <w:color w:val="FF0000"/>
        </w:rPr>
        <w:t>Maoh</w:t>
      </w:r>
      <w:proofErr w:type="spellEnd"/>
      <w:r w:rsidR="00731611" w:rsidRPr="00731611">
        <w:rPr>
          <w:color w:val="FF0000"/>
        </w:rPr>
        <w:t>, 2017; Liu et al. 2017</w:t>
      </w:r>
      <w:r w:rsidR="00731611">
        <w:t>)</w:t>
      </w:r>
      <w:r w:rsidR="00DD4D64">
        <w:t xml:space="preserve"> has been found to be </w:t>
      </w:r>
      <w:r w:rsidR="001947CC">
        <w:t>associated with</w:t>
      </w:r>
      <w:r w:rsidR="00DD4D64">
        <w:t xml:space="preserve"> the education and income levels of the population as well as car availability levels, commuting distances, and household size. In terms of the presence of local supporting policies, the exemption of </w:t>
      </w:r>
      <w:r w:rsidR="002D0D52">
        <w:t>HEVs</w:t>
      </w:r>
      <w:r w:rsidR="00DD4D64">
        <w:t xml:space="preserve"> from the London Congestion Charge has been found to </w:t>
      </w:r>
      <w:r w:rsidR="00316BED">
        <w:t>represent a salient</w:t>
      </w:r>
      <w:r w:rsidR="00DD4D64">
        <w:t xml:space="preserve"> issue in consumer</w:t>
      </w:r>
      <w:r w:rsidR="00316BED">
        <w:t>’s</w:t>
      </w:r>
      <w:r w:rsidR="00DD4D64">
        <w:t xml:space="preserve"> decision</w:t>
      </w:r>
      <w:r w:rsidR="00316BED">
        <w:t>s</w:t>
      </w:r>
      <w:r w:rsidR="00DD4D64">
        <w:t xml:space="preserve"> to purchase </w:t>
      </w:r>
      <w:r w:rsidR="002D0D52">
        <w:t>a HEV (</w:t>
      </w:r>
      <w:r w:rsidR="002D0D52" w:rsidRPr="002D0D52">
        <w:rPr>
          <w:color w:val="FF0000"/>
        </w:rPr>
        <w:t xml:space="preserve">Ozaki and </w:t>
      </w:r>
      <w:proofErr w:type="spellStart"/>
      <w:r w:rsidR="002D0D52" w:rsidRPr="002D0D52">
        <w:rPr>
          <w:color w:val="FF0000"/>
        </w:rPr>
        <w:t>Sevastyanova</w:t>
      </w:r>
      <w:proofErr w:type="spellEnd"/>
      <w:r w:rsidR="002D0D52" w:rsidRPr="002D0D52">
        <w:rPr>
          <w:color w:val="FF0000"/>
        </w:rPr>
        <w:t>, 2011</w:t>
      </w:r>
      <w:r w:rsidR="002D0D52">
        <w:t xml:space="preserve">), with </w:t>
      </w:r>
      <w:r w:rsidR="002D0D52" w:rsidRPr="002D0D52">
        <w:rPr>
          <w:color w:val="FF0000"/>
        </w:rPr>
        <w:t xml:space="preserve">Morton et al. (2017) </w:t>
      </w:r>
      <w:r w:rsidR="002D0D52">
        <w:t xml:space="preserve">finding that the rate of HEV ownership tends to increase as </w:t>
      </w:r>
      <w:r w:rsidR="00316BED">
        <w:t xml:space="preserve">the </w:t>
      </w:r>
      <w:r w:rsidR="002D0D52">
        <w:t xml:space="preserve">rate of commuting by car to the London </w:t>
      </w:r>
      <w:r w:rsidR="00821B6F">
        <w:t>Congestion Charge increases. Si</w:t>
      </w:r>
      <w:r w:rsidR="002D0D52">
        <w:t>milar assessment</w:t>
      </w:r>
      <w:r w:rsidR="00821B6F">
        <w:t>s have</w:t>
      </w:r>
      <w:r w:rsidR="002D0D52">
        <w:t xml:space="preserve"> been conducted on the exemption of natural gas vehicles from the Stockholm Congestion Charge, </w:t>
      </w:r>
      <w:r w:rsidR="00316BED">
        <w:t>where</w:t>
      </w:r>
      <w:r w:rsidR="00995B63">
        <w:t xml:space="preserve"> </w:t>
      </w:r>
      <w:proofErr w:type="spellStart"/>
      <w:r w:rsidR="00995B63" w:rsidRPr="00600CEF">
        <w:rPr>
          <w:color w:val="FF0000"/>
        </w:rPr>
        <w:t>Mannberg</w:t>
      </w:r>
      <w:proofErr w:type="spellEnd"/>
      <w:r w:rsidR="00995B63" w:rsidRPr="00600CEF">
        <w:rPr>
          <w:color w:val="FF0000"/>
        </w:rPr>
        <w:t xml:space="preserve"> et al. (2014) </w:t>
      </w:r>
      <w:r w:rsidR="00316BED">
        <w:t>applied</w:t>
      </w:r>
      <w:r w:rsidR="00995B63">
        <w:t xml:space="preserve"> a difference-in-difference assessment</w:t>
      </w:r>
      <w:r w:rsidR="00821B6F">
        <w:t xml:space="preserve"> </w:t>
      </w:r>
      <w:r w:rsidR="00995B63">
        <w:t xml:space="preserve">across Stockholm and Gothenburg (used as the control site) and </w:t>
      </w:r>
      <w:r w:rsidR="00316BED">
        <w:t>identified</w:t>
      </w:r>
      <w:r w:rsidR="00995B63">
        <w:t xml:space="preserve"> a 1.2% increase in registrations </w:t>
      </w:r>
      <w:r w:rsidR="00821B6F">
        <w:t xml:space="preserve">of natural gas vehicles </w:t>
      </w:r>
      <w:r w:rsidR="00995B63">
        <w:t xml:space="preserve">in Stockholm attributable to the exemption. Providing further evidence of this effect, </w:t>
      </w:r>
      <w:r w:rsidR="00995B63" w:rsidRPr="00600CEF">
        <w:rPr>
          <w:color w:val="FF0000"/>
        </w:rPr>
        <w:t xml:space="preserve">Whitehead et al. (2014) </w:t>
      </w:r>
      <w:r w:rsidR="00995B63">
        <w:t>develop</w:t>
      </w:r>
      <w:r w:rsidR="00821B6F">
        <w:t>ed</w:t>
      </w:r>
      <w:r w:rsidR="00995B63">
        <w:t xml:space="preserve"> a vehicle choice model for car registrations in Stockholm and simulate</w:t>
      </w:r>
      <w:r w:rsidR="00821B6F">
        <w:t>d</w:t>
      </w:r>
      <w:r w:rsidR="00995B63">
        <w:t xml:space="preserve"> a scenario omitting the presence of the </w:t>
      </w:r>
      <w:r w:rsidR="00600CEF">
        <w:t>natural gas vehicle exemption</w:t>
      </w:r>
      <w:r w:rsidR="00316BED">
        <w:t xml:space="preserve">, with </w:t>
      </w:r>
      <w:r w:rsidR="00600CEF">
        <w:t>the policy</w:t>
      </w:r>
      <w:r w:rsidR="00316BED">
        <w:t xml:space="preserve"> estimated to have increased</w:t>
      </w:r>
      <w:r w:rsidR="00600CEF">
        <w:t xml:space="preserve"> the registration rates of these vehicles by 1.8%. </w:t>
      </w:r>
      <w:r w:rsidR="002D0D52">
        <w:t xml:space="preserve">These studies endorse the view that proximity or nearness to a policy which benefits one particular car variant (such as a certain powertrain) can encourage the registrations of such vehicles in surrounding areas.  </w:t>
      </w:r>
      <w:r w:rsidR="0010088C">
        <w:t>The research reported in this paper examines if such an effect is present in terms of fuel tourism between Northern Ireland and the Republic by evaluating whether the availability of cheaper diesel fuel in the Republic is promoting registrations of these vehicles in North</w:t>
      </w:r>
      <w:r w:rsidR="00316BED">
        <w:t>ern Ireland</w:t>
      </w:r>
      <w:bookmarkStart w:id="0" w:name="_GoBack"/>
      <w:bookmarkEnd w:id="0"/>
      <w:r w:rsidR="0010088C">
        <w:t xml:space="preserve">. </w:t>
      </w:r>
    </w:p>
    <w:sectPr w:rsidR="002D0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2E6"/>
    <w:rsid w:val="0010088C"/>
    <w:rsid w:val="001947CC"/>
    <w:rsid w:val="001B40D8"/>
    <w:rsid w:val="0021556E"/>
    <w:rsid w:val="002D0D52"/>
    <w:rsid w:val="00316BED"/>
    <w:rsid w:val="00323607"/>
    <w:rsid w:val="003D789A"/>
    <w:rsid w:val="00435875"/>
    <w:rsid w:val="004B488B"/>
    <w:rsid w:val="005F52E6"/>
    <w:rsid w:val="00600CEF"/>
    <w:rsid w:val="00731611"/>
    <w:rsid w:val="00821B6F"/>
    <w:rsid w:val="00995B63"/>
    <w:rsid w:val="00A87106"/>
    <w:rsid w:val="00A8776A"/>
    <w:rsid w:val="00D81C83"/>
    <w:rsid w:val="00DD4D64"/>
    <w:rsid w:val="00EC5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03E16-6111-412D-BB3C-895039AF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Morton</dc:creator>
  <cp:keywords/>
  <dc:description/>
  <cp:lastModifiedBy>Craig Morton</cp:lastModifiedBy>
  <cp:revision>10</cp:revision>
  <dcterms:created xsi:type="dcterms:W3CDTF">2017-12-12T18:15:00Z</dcterms:created>
  <dcterms:modified xsi:type="dcterms:W3CDTF">2018-02-12T14:09:00Z</dcterms:modified>
</cp:coreProperties>
</file>