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B066C" w14:textId="77777777" w:rsidR="00E62143" w:rsidRDefault="00000000">
      <w:pPr>
        <w:pStyle w:val="Ttulo"/>
        <w:spacing w:after="60"/>
      </w:pPr>
      <w:r>
        <w:t>Asistente de farmacias de turno</w:t>
      </w:r>
    </w:p>
    <w:p w14:paraId="44A230B4" w14:textId="77777777" w:rsidR="00E62143" w:rsidRDefault="00000000">
      <w:pPr>
        <w:spacing w:after="40"/>
      </w:pPr>
      <w:r>
        <w:rPr>
          <w:sz w:val="26"/>
          <w:szCs w:val="26"/>
        </w:rPr>
        <w:t>Decisiones de diseño e ingesta del corpus documental</w:t>
      </w:r>
    </w:p>
    <w:p w14:paraId="1D335092" w14:textId="77777777" w:rsidR="00E62143" w:rsidRDefault="00000000">
      <w:pPr>
        <w:pBdr>
          <w:bottom w:val="single" w:sz="6" w:space="8" w:color="999999"/>
        </w:pBdr>
        <w:spacing w:after="360"/>
      </w:pPr>
      <w:r>
        <w:rPr>
          <w:color w:val="555555"/>
          <w:sz w:val="19"/>
          <w:szCs w:val="19"/>
        </w:rPr>
        <w:t>Trabajo Final · Módulo 04 · Diploma en IA Generativa para Organizaciones · FEN UEjecutivos</w:t>
      </w:r>
    </w:p>
    <w:p w14:paraId="54A6A916" w14:textId="77777777" w:rsidR="00E62143" w:rsidRDefault="00000000">
      <w:pPr>
        <w:spacing w:after="200" w:line="276" w:lineRule="auto"/>
      </w:pPr>
      <w:r>
        <w:t>Este documento registra las decisiones de diseño tomadas durante la construcción del asistente, con foco en la fase de ingesta del corpus documental. Cubre el estado del desarrollo hasta la indexación del vademécum, e incluye el razonamiento y la evidencia empírica detrás de cada decisión. Las piezas pendientes se listan al cierre.</w:t>
      </w:r>
    </w:p>
    <w:p w14:paraId="18B185BD" w14:textId="77777777" w:rsidR="00E62143" w:rsidRDefault="00000000">
      <w:pPr>
        <w:pStyle w:val="Ttulo1"/>
        <w:spacing w:before="280" w:after="140"/>
      </w:pPr>
      <w:r>
        <w:t>1. Alcance y arquitectura</w:t>
      </w:r>
    </w:p>
    <w:p w14:paraId="6D6467D8" w14:textId="77777777" w:rsidR="00E62143" w:rsidRDefault="00000000">
      <w:pPr>
        <w:spacing w:after="140" w:line="276" w:lineRule="auto"/>
      </w:pPr>
      <w:r>
        <w:t>El sistema es un asistente informativo que combina dos fuentes complementarias: una estructurada y en vivo (API de farmacias de turno del MINSAL) y una documental para recuperación semántica (dataset de fichas de medicamentos). La orquestación se resuelve con un grafo LangGraph que enruta entre ambas según la intención detectada, y mantiene historial conversacional por usuario.</w:t>
      </w:r>
    </w:p>
    <w:p w14:paraId="3FF0AE8C" w14:textId="77777777" w:rsidR="00E62143" w:rsidRDefault="00000000">
      <w:pPr>
        <w:spacing w:after="140" w:line="276" w:lineRule="auto"/>
      </w:pPr>
      <w:r>
        <w:t>El asistente informa; no diagnostica, no recomienda medicamentos y no indica dosis. Esa restricción no es un agregado posterior sino un criterio que atraviesa el diseño, incluida la selección de qué campos del corpus llegan al modelo generador.</w:t>
      </w:r>
    </w:p>
    <w:p w14:paraId="0F650C0D" w14:textId="77777777" w:rsidR="00E62143" w:rsidRDefault="00000000">
      <w:pPr>
        <w:pStyle w:val="Ttulo1"/>
        <w:spacing w:before="280" w:after="140"/>
      </w:pPr>
      <w:r>
        <w:t>2. Grafo de orquestación</w:t>
      </w:r>
    </w:p>
    <w:p w14:paraId="328C045F" w14:textId="77777777" w:rsidR="00E62143" w:rsidRDefault="00000000">
      <w:pPr>
        <w:pStyle w:val="Ttulo2"/>
        <w:spacing w:before="280" w:after="140"/>
      </w:pPr>
      <w:r>
        <w:t>2.1 Estado y enrutamiento</w:t>
      </w:r>
    </w:p>
    <w:p w14:paraId="40908C73" w14:textId="77777777" w:rsidR="00E62143" w:rsidRDefault="00000000">
      <w:pPr>
        <w:spacing w:after="140" w:line="276" w:lineRule="auto"/>
      </w:pPr>
      <w:r>
        <w:t>El estado del grafo conserva el identificador de usuario, el historial de mensajes, la intención clasificada, la comuna en contexto y los contextos recuperados por cada herramienta. El historial se acumula mediante un reductor de LangGraph, lo que evita implementar lógica de acumulación manual.</w:t>
      </w:r>
    </w:p>
    <w:p w14:paraId="0468ECC0" w14:textId="77777777" w:rsidR="00E62143" w:rsidRDefault="00000000">
      <w:pPr>
        <w:spacing w:after="140" w:line="276" w:lineRule="auto"/>
      </w:pPr>
      <w:r>
        <w:t>El nodo enrutador clasifica cada consulta en tres rutas mediante salida estructurada: consulta de turnos, consulta informativa sobre un medicamento, o solicitud que debe rechazarse. Se optó por clasificación con salida tipada en lugar de coincidencia de palabras clave porque esta última es frágil frente a paráfrasis y no constituye enrutamiento real.</w:t>
      </w:r>
    </w:p>
    <w:p w14:paraId="484F347A" w14:textId="77777777" w:rsidR="00E62143" w:rsidRDefault="00000000">
      <w:pPr>
        <w:spacing w:after="140" w:line="276" w:lineRule="auto"/>
      </w:pPr>
      <w:r>
        <w:t>El prompt del clasificador instruye explícitamente resolver la ambigüedad hacia el rechazo: ante duda entre consulta informativa y solicitud clínica, se clasifica como rechazo. Se prefiere un falso rechazo, que el usuario puede reformular, a un falso negativo que permita que una solicitud de dosis se procese como consulta general.</w:t>
      </w:r>
    </w:p>
    <w:p w14:paraId="219D050A" w14:textId="77777777" w:rsidR="00E62143" w:rsidRDefault="00000000">
      <w:pPr>
        <w:pStyle w:val="Ttulo2"/>
        <w:spacing w:before="280" w:after="140"/>
      </w:pPr>
      <w:r>
        <w:t>2.2 Corrección: el enrutador no leía el historial</w:t>
      </w:r>
    </w:p>
    <w:p w14:paraId="1FD70682" w14:textId="77777777" w:rsidR="00E62143" w:rsidRDefault="00000000">
      <w:pPr>
        <w:spacing w:after="140" w:line="276" w:lineRule="auto"/>
      </w:pPr>
      <w:r>
        <w:t>La primera implementación pasaba al clasificador únicamente el último mensaje del usuario. La prueba inicial parecía correcta porque el segundo turno mencionaba explícitamente la comuna, pero eso no demostraba uso de memoria: el acierto provenía del texto literal, no del historial.</w:t>
      </w:r>
    </w:p>
    <w:p w14:paraId="172173B5" w14:textId="77777777" w:rsidR="00E62143" w:rsidRDefault="00000000">
      <w:pPr>
        <w:spacing w:after="140" w:line="276" w:lineRule="auto"/>
      </w:pPr>
      <w:r>
        <w:t>Se corrigió pasando la conversación completa al clasificador y arrastrando la comuna previa cuando el turno actual no la menciona. La prueba se rediseñó con una segunda consulta sin referencia explícita:</w:t>
      </w:r>
    </w:p>
    <w:p w14:paraId="7960AF5B" w14:textId="77777777" w:rsidR="00E62143" w:rsidRDefault="00000000">
      <w:pPr>
        <w:spacing w:after="60"/>
        <w:ind w:left="360"/>
      </w:pPr>
      <w:r>
        <w:rPr>
          <w:rFonts w:ascii="Consolas" w:eastAsia="Consolas" w:hAnsi="Consolas" w:cs="Consolas"/>
          <w:sz w:val="18"/>
          <w:szCs w:val="18"/>
        </w:rPr>
        <w:t>Turno 1: ¿Hay una farmacia de turno en Providencia?</w:t>
      </w:r>
    </w:p>
    <w:p w14:paraId="0D3436A4" w14:textId="77777777" w:rsidR="00E62143" w:rsidRDefault="00000000">
      <w:pPr>
        <w:spacing w:after="60"/>
        <w:ind w:left="360"/>
      </w:pPr>
      <w:r>
        <w:rPr>
          <w:rFonts w:ascii="Consolas" w:eastAsia="Consolas" w:hAnsi="Consolas" w:cs="Consolas"/>
          <w:sz w:val="18"/>
          <w:szCs w:val="18"/>
        </w:rPr>
        <w:t>Turno 2: ¿Y cuál queda más cerca del metro?</w:t>
      </w:r>
    </w:p>
    <w:p w14:paraId="2720D95E" w14:textId="77777777" w:rsidR="00E62143" w:rsidRDefault="00000000">
      <w:pPr>
        <w:spacing w:after="60"/>
        <w:ind w:left="360"/>
      </w:pPr>
      <w:r>
        <w:rPr>
          <w:rFonts w:ascii="Consolas" w:eastAsia="Consolas" w:hAnsi="Consolas" w:cs="Consolas"/>
          <w:sz w:val="18"/>
          <w:szCs w:val="18"/>
        </w:rPr>
        <w:t>[router] intent=turno, comuna=Providencia   ← resuelto desde historial</w:t>
      </w:r>
    </w:p>
    <w:p w14:paraId="323FAFEF" w14:textId="77777777" w:rsidR="00E62143" w:rsidRDefault="00000000">
      <w:pPr>
        <w:spacing w:after="140" w:line="276" w:lineRule="auto"/>
      </w:pPr>
      <w:r>
        <w:rPr>
          <w:i/>
          <w:iCs/>
        </w:rPr>
        <w:lastRenderedPageBreak/>
        <w:t>Observación pendiente: la comuna en estado es persistente y no se limpia sola. Si el usuario cambia de tema, arrastra el valor anterior. Debe revisarse al conectar la herramienta de turnos en vivo.</w:t>
      </w:r>
    </w:p>
    <w:p w14:paraId="504D33EC" w14:textId="77777777" w:rsidR="00E62143" w:rsidRDefault="00000000">
      <w:pPr>
        <w:pStyle w:val="Ttulo1"/>
        <w:spacing w:before="280" w:after="140"/>
      </w:pPr>
      <w:r>
        <w:t>3. Corpus documental</w:t>
      </w:r>
    </w:p>
    <w:p w14:paraId="3CCDC53E" w14:textId="77777777" w:rsidR="00E62143" w:rsidRDefault="00000000">
      <w:pPr>
        <w:pStyle w:val="Ttulo2"/>
        <w:spacing w:before="280" w:after="140"/>
      </w:pPr>
      <w:r>
        <w:t>3.1 Fuente y límites declarados</w:t>
      </w:r>
    </w:p>
    <w:p w14:paraId="3D14B391" w14:textId="77777777" w:rsidR="00E62143" w:rsidRDefault="00000000">
      <w:pPr>
        <w:spacing w:after="140" w:line="276" w:lineRule="auto"/>
      </w:pPr>
      <w:r>
        <w:t>Se utiliza el Comprehensive Drug Information Dataset (Kaggle), en inglés, con 220 filas y 20 columnas. El material del curso lo señala como corpus educativo y no como fuente clínica autoritativa.</w:t>
      </w:r>
    </w:p>
    <w:p w14:paraId="5E39858F" w14:textId="77777777" w:rsidR="00E62143" w:rsidRDefault="00000000">
      <w:pPr>
        <w:spacing w:after="140" w:line="276" w:lineRule="auto"/>
      </w:pPr>
      <w:r>
        <w:t>El análisis del archivo confirmó esa advertencia con evidencia interna. El mismo principio activo aparece descrito de dos formas incompatibles: siete registros de Levothyroxine indican Hypothyroidism / Tremor, mientras un octavo indica Thyroid Disorder / Dizziness. Una fuente curada no presentaría esa discrepancia. El dataset es adecuado para practicar recuperación semántica y citación, no para sustentar afirmaciones clínicas.</w:t>
      </w:r>
    </w:p>
    <w:p w14:paraId="5FC5AE84" w14:textId="77777777" w:rsidR="00E62143" w:rsidRDefault="00000000">
      <w:pPr>
        <w:pStyle w:val="Ttulo2"/>
        <w:spacing w:before="280" w:after="140"/>
      </w:pPr>
      <w:r>
        <w:t>3.2 Estrategia de segmentación</w:t>
      </w:r>
    </w:p>
    <w:p w14:paraId="3DC4E98D" w14:textId="77777777" w:rsidR="00E62143" w:rsidRDefault="00000000">
      <w:pPr>
        <w:spacing w:after="140" w:line="276" w:lineRule="auto"/>
      </w:pPr>
      <w:r>
        <w:t>Los campos del dataset son cortos y estructurados: cada celda contiene una frase o menos. No se aplicó ningún divisor de texto. Partir una ficha habría roto su coherencia semántica sin ganancia alguna, dado que ninguna supera el tamaño razonable de un fragmento. La unidad de indexación es la ficha completa: un medicamento, un vector.</w:t>
      </w:r>
    </w:p>
    <w:p w14:paraId="464099C5" w14:textId="77777777" w:rsidR="00E62143" w:rsidRDefault="00000000">
      <w:pPr>
        <w:pStyle w:val="Ttulo2"/>
        <w:spacing w:before="280" w:after="140"/>
      </w:pPr>
      <w:r>
        <w:t>3.3 Selección de campos: separación entre texto embebido y metadatos</w:t>
      </w:r>
    </w:p>
    <w:p w14:paraId="3757E259" w14:textId="77777777" w:rsidR="00E62143" w:rsidRDefault="00000000">
      <w:pPr>
        <w:spacing w:after="140" w:line="276" w:lineRule="auto"/>
      </w:pPr>
      <w:r>
        <w:t>El dataset contiene columnas de concentración y forma farmacéutica. Un sistema que recupera la ficha completa y la entrega como contexto al modelo generador puede producir una respuesta que incluya una dosis sin que el usuario la haya pedido, por simple repetición del contexto.</w:t>
      </w:r>
    </w:p>
    <w:p w14:paraId="41934A9F" w14:textId="77777777" w:rsidR="00E62143" w:rsidRDefault="00000000">
      <w:pPr>
        <w:spacing w:after="140" w:line="276" w:lineRule="auto"/>
      </w:pPr>
      <w:r>
        <w:t>Para evitarlo se separaron los campos en dos destinos. Los campos farmacológicos descriptivos forman el texto que se embebe y que llega al modelo. Los campos de dosificación y datos comerciales quedan únicamente en el payload de metadatos: se conservan para trazabilidad, pero nunca se entregan como contexto de generación.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00"/>
        <w:gridCol w:w="3900"/>
      </w:tblGrid>
      <w:tr w:rsidR="00E62143" w14:paraId="0FB09CD6" w14:textId="77777777">
        <w:tblPrEx>
          <w:tblCellMar>
            <w:top w:w="0" w:type="dxa"/>
            <w:bottom w:w="0" w:type="dxa"/>
          </w:tblCellMar>
        </w:tblPrEx>
        <w:trPr>
          <w:tblHeader/>
        </w:trPr>
        <w:tc>
          <w:tcPr>
            <w:tcW w:w="3200" w:type="dxa"/>
            <w:shd w:val="clear" w:color="auto" w:fill="E8E8E8"/>
            <w:tcMar>
              <w:top w:w="90" w:type="dxa"/>
              <w:left w:w="120" w:type="dxa"/>
              <w:bottom w:w="90" w:type="dxa"/>
              <w:right w:w="120" w:type="dxa"/>
            </w:tcMar>
          </w:tcPr>
          <w:p w14:paraId="4AA28AE1" w14:textId="77777777" w:rsidR="00E62143" w:rsidRDefault="00000000">
            <w:r>
              <w:rPr>
                <w:b/>
                <w:bCs/>
                <w:sz w:val="20"/>
                <w:szCs w:val="20"/>
              </w:rPr>
              <w:t>Campo</w:t>
            </w:r>
          </w:p>
        </w:tc>
        <w:tc>
          <w:tcPr>
            <w:tcW w:w="1900" w:type="dxa"/>
            <w:shd w:val="clear" w:color="auto" w:fill="E8E8E8"/>
            <w:tcMar>
              <w:top w:w="90" w:type="dxa"/>
              <w:left w:w="120" w:type="dxa"/>
              <w:bottom w:w="90" w:type="dxa"/>
              <w:right w:w="120" w:type="dxa"/>
            </w:tcMar>
          </w:tcPr>
          <w:p w14:paraId="58B6C0C3" w14:textId="77777777" w:rsidR="00E62143" w:rsidRDefault="00000000">
            <w:r>
              <w:rPr>
                <w:b/>
                <w:bCs/>
                <w:sz w:val="20"/>
                <w:szCs w:val="20"/>
              </w:rPr>
              <w:t>Destino</w:t>
            </w:r>
          </w:p>
        </w:tc>
        <w:tc>
          <w:tcPr>
            <w:tcW w:w="3900" w:type="dxa"/>
            <w:shd w:val="clear" w:color="auto" w:fill="E8E8E8"/>
            <w:tcMar>
              <w:top w:w="90" w:type="dxa"/>
              <w:left w:w="120" w:type="dxa"/>
              <w:bottom w:w="90" w:type="dxa"/>
              <w:right w:w="120" w:type="dxa"/>
            </w:tcMar>
          </w:tcPr>
          <w:p w14:paraId="760DEFAC" w14:textId="77777777" w:rsidR="00E62143" w:rsidRDefault="00000000">
            <w:r>
              <w:rPr>
                <w:b/>
                <w:bCs/>
                <w:sz w:val="20"/>
                <w:szCs w:val="20"/>
              </w:rPr>
              <w:t>Razón</w:t>
            </w:r>
          </w:p>
        </w:tc>
      </w:tr>
      <w:tr w:rsidR="00E62143" w14:paraId="25073D16" w14:textId="77777777">
        <w:tblPrEx>
          <w:tblCellMar>
            <w:top w:w="0" w:type="dxa"/>
            <w:bottom w:w="0" w:type="dxa"/>
          </w:tblCellMar>
        </w:tblPrEx>
        <w:tc>
          <w:tcPr>
            <w:tcW w:w="3200" w:type="dxa"/>
            <w:tcMar>
              <w:top w:w="90" w:type="dxa"/>
              <w:left w:w="120" w:type="dxa"/>
              <w:bottom w:w="90" w:type="dxa"/>
              <w:right w:w="120" w:type="dxa"/>
            </w:tcMar>
          </w:tcPr>
          <w:p w14:paraId="057D8142" w14:textId="77777777" w:rsidR="00E62143" w:rsidRDefault="00000000">
            <w:r>
              <w:rPr>
                <w:sz w:val="20"/>
                <w:szCs w:val="20"/>
              </w:rPr>
              <w:t>Drug Name, Generic Name</w:t>
            </w:r>
          </w:p>
        </w:tc>
        <w:tc>
          <w:tcPr>
            <w:tcW w:w="1900" w:type="dxa"/>
            <w:tcMar>
              <w:top w:w="90" w:type="dxa"/>
              <w:left w:w="120" w:type="dxa"/>
              <w:bottom w:w="90" w:type="dxa"/>
              <w:right w:w="120" w:type="dxa"/>
            </w:tcMar>
          </w:tcPr>
          <w:p w14:paraId="3AD46757" w14:textId="77777777" w:rsidR="00E62143" w:rsidRDefault="00000000">
            <w:r>
              <w:rPr>
                <w:sz w:val="20"/>
                <w:szCs w:val="20"/>
              </w:rPr>
              <w:t>Texto embebido</w:t>
            </w:r>
          </w:p>
        </w:tc>
        <w:tc>
          <w:tcPr>
            <w:tcW w:w="3900" w:type="dxa"/>
            <w:tcMar>
              <w:top w:w="90" w:type="dxa"/>
              <w:left w:w="120" w:type="dxa"/>
              <w:bottom w:w="90" w:type="dxa"/>
              <w:right w:w="120" w:type="dxa"/>
            </w:tcMar>
          </w:tcPr>
          <w:p w14:paraId="018D4E73" w14:textId="77777777" w:rsidR="00E62143" w:rsidRDefault="00000000">
            <w:r>
              <w:rPr>
                <w:sz w:val="20"/>
                <w:szCs w:val="20"/>
              </w:rPr>
              <w:t>Identifica la ficha en la búsqueda semántica</w:t>
            </w:r>
          </w:p>
        </w:tc>
      </w:tr>
      <w:tr w:rsidR="00E62143" w14:paraId="757DCACC" w14:textId="77777777">
        <w:tblPrEx>
          <w:tblCellMar>
            <w:top w:w="0" w:type="dxa"/>
            <w:bottom w:w="0" w:type="dxa"/>
          </w:tblCellMar>
        </w:tblPrEx>
        <w:tc>
          <w:tcPr>
            <w:tcW w:w="3200" w:type="dxa"/>
            <w:tcMar>
              <w:top w:w="90" w:type="dxa"/>
              <w:left w:w="120" w:type="dxa"/>
              <w:bottom w:w="90" w:type="dxa"/>
              <w:right w:w="120" w:type="dxa"/>
            </w:tcMar>
          </w:tcPr>
          <w:p w14:paraId="21BF4E63" w14:textId="77777777" w:rsidR="00E62143" w:rsidRDefault="00000000">
            <w:r>
              <w:rPr>
                <w:sz w:val="20"/>
                <w:szCs w:val="20"/>
              </w:rPr>
              <w:t>Drug Class, Indications</w:t>
            </w:r>
          </w:p>
        </w:tc>
        <w:tc>
          <w:tcPr>
            <w:tcW w:w="1900" w:type="dxa"/>
            <w:tcMar>
              <w:top w:w="90" w:type="dxa"/>
              <w:left w:w="120" w:type="dxa"/>
              <w:bottom w:w="90" w:type="dxa"/>
              <w:right w:w="120" w:type="dxa"/>
            </w:tcMar>
          </w:tcPr>
          <w:p w14:paraId="432EDF54" w14:textId="77777777" w:rsidR="00E62143" w:rsidRDefault="00000000">
            <w:r>
              <w:rPr>
                <w:sz w:val="20"/>
                <w:szCs w:val="20"/>
              </w:rPr>
              <w:t>Texto embebido</w:t>
            </w:r>
          </w:p>
        </w:tc>
        <w:tc>
          <w:tcPr>
            <w:tcW w:w="3900" w:type="dxa"/>
            <w:tcMar>
              <w:top w:w="90" w:type="dxa"/>
              <w:left w:w="120" w:type="dxa"/>
              <w:bottom w:w="90" w:type="dxa"/>
              <w:right w:w="120" w:type="dxa"/>
            </w:tcMar>
          </w:tcPr>
          <w:p w14:paraId="783A73EA" w14:textId="77777777" w:rsidR="00E62143" w:rsidRDefault="00000000">
            <w:r>
              <w:rPr>
                <w:sz w:val="20"/>
                <w:szCs w:val="20"/>
              </w:rPr>
              <w:t>Contenido farmacológico descriptivo</w:t>
            </w:r>
          </w:p>
        </w:tc>
      </w:tr>
      <w:tr w:rsidR="00E62143" w14:paraId="2BA23F7F" w14:textId="77777777">
        <w:tblPrEx>
          <w:tblCellMar>
            <w:top w:w="0" w:type="dxa"/>
            <w:bottom w:w="0" w:type="dxa"/>
          </w:tblCellMar>
        </w:tblPrEx>
        <w:tc>
          <w:tcPr>
            <w:tcW w:w="3200" w:type="dxa"/>
            <w:tcMar>
              <w:top w:w="90" w:type="dxa"/>
              <w:left w:w="120" w:type="dxa"/>
              <w:bottom w:w="90" w:type="dxa"/>
              <w:right w:w="120" w:type="dxa"/>
            </w:tcMar>
          </w:tcPr>
          <w:p w14:paraId="75D9D86F" w14:textId="77777777" w:rsidR="00E62143" w:rsidRDefault="00000000">
            <w:r>
              <w:rPr>
                <w:sz w:val="20"/>
                <w:szCs w:val="20"/>
              </w:rPr>
              <w:t>Mechanism of Action</w:t>
            </w:r>
          </w:p>
        </w:tc>
        <w:tc>
          <w:tcPr>
            <w:tcW w:w="1900" w:type="dxa"/>
            <w:tcMar>
              <w:top w:w="90" w:type="dxa"/>
              <w:left w:w="120" w:type="dxa"/>
              <w:bottom w:w="90" w:type="dxa"/>
              <w:right w:w="120" w:type="dxa"/>
            </w:tcMar>
          </w:tcPr>
          <w:p w14:paraId="415122EB" w14:textId="77777777" w:rsidR="00E62143" w:rsidRDefault="00000000">
            <w:r>
              <w:rPr>
                <w:sz w:val="20"/>
                <w:szCs w:val="20"/>
              </w:rPr>
              <w:t>Texto embebido</w:t>
            </w:r>
          </w:p>
        </w:tc>
        <w:tc>
          <w:tcPr>
            <w:tcW w:w="3900" w:type="dxa"/>
            <w:tcMar>
              <w:top w:w="90" w:type="dxa"/>
              <w:left w:w="120" w:type="dxa"/>
              <w:bottom w:w="90" w:type="dxa"/>
              <w:right w:w="120" w:type="dxa"/>
            </w:tcMar>
          </w:tcPr>
          <w:p w14:paraId="60B5704E" w14:textId="77777777" w:rsidR="00E62143" w:rsidRDefault="00000000">
            <w:r>
              <w:rPr>
                <w:sz w:val="20"/>
                <w:szCs w:val="20"/>
              </w:rPr>
              <w:t>Contenido farmacológico descriptivo</w:t>
            </w:r>
          </w:p>
        </w:tc>
      </w:tr>
      <w:tr w:rsidR="00E62143" w14:paraId="6FE9A3A2" w14:textId="77777777">
        <w:tblPrEx>
          <w:tblCellMar>
            <w:top w:w="0" w:type="dxa"/>
            <w:bottom w:w="0" w:type="dxa"/>
          </w:tblCellMar>
        </w:tblPrEx>
        <w:tc>
          <w:tcPr>
            <w:tcW w:w="3200" w:type="dxa"/>
            <w:tcMar>
              <w:top w:w="90" w:type="dxa"/>
              <w:left w:w="120" w:type="dxa"/>
              <w:bottom w:w="90" w:type="dxa"/>
              <w:right w:w="120" w:type="dxa"/>
            </w:tcMar>
          </w:tcPr>
          <w:p w14:paraId="0A6AB8D7" w14:textId="77777777" w:rsidR="00E62143" w:rsidRDefault="00000000">
            <w:r>
              <w:rPr>
                <w:sz w:val="20"/>
                <w:szCs w:val="20"/>
              </w:rPr>
              <w:t>Side Effects, Contraindications</w:t>
            </w:r>
          </w:p>
        </w:tc>
        <w:tc>
          <w:tcPr>
            <w:tcW w:w="1900" w:type="dxa"/>
            <w:tcMar>
              <w:top w:w="90" w:type="dxa"/>
              <w:left w:w="120" w:type="dxa"/>
              <w:bottom w:w="90" w:type="dxa"/>
              <w:right w:w="120" w:type="dxa"/>
            </w:tcMar>
          </w:tcPr>
          <w:p w14:paraId="3B41D172" w14:textId="77777777" w:rsidR="00E62143" w:rsidRDefault="00000000">
            <w:r>
              <w:rPr>
                <w:sz w:val="20"/>
                <w:szCs w:val="20"/>
              </w:rPr>
              <w:t>Texto embebido</w:t>
            </w:r>
          </w:p>
        </w:tc>
        <w:tc>
          <w:tcPr>
            <w:tcW w:w="3900" w:type="dxa"/>
            <w:tcMar>
              <w:top w:w="90" w:type="dxa"/>
              <w:left w:w="120" w:type="dxa"/>
              <w:bottom w:w="90" w:type="dxa"/>
              <w:right w:w="120" w:type="dxa"/>
            </w:tcMar>
          </w:tcPr>
          <w:p w14:paraId="670CC4E0" w14:textId="77777777" w:rsidR="00E62143" w:rsidRDefault="00000000">
            <w:r>
              <w:rPr>
                <w:sz w:val="20"/>
                <w:szCs w:val="20"/>
              </w:rPr>
              <w:t>Información informativa legítima</w:t>
            </w:r>
          </w:p>
        </w:tc>
      </w:tr>
      <w:tr w:rsidR="00E62143" w14:paraId="1CD95836" w14:textId="77777777">
        <w:tblPrEx>
          <w:tblCellMar>
            <w:top w:w="0" w:type="dxa"/>
            <w:bottom w:w="0" w:type="dxa"/>
          </w:tblCellMar>
        </w:tblPrEx>
        <w:tc>
          <w:tcPr>
            <w:tcW w:w="3200" w:type="dxa"/>
            <w:tcMar>
              <w:top w:w="90" w:type="dxa"/>
              <w:left w:w="120" w:type="dxa"/>
              <w:bottom w:w="90" w:type="dxa"/>
              <w:right w:w="120" w:type="dxa"/>
            </w:tcMar>
          </w:tcPr>
          <w:p w14:paraId="71376B05" w14:textId="77777777" w:rsidR="00E62143" w:rsidRDefault="00000000">
            <w:r>
              <w:rPr>
                <w:sz w:val="20"/>
                <w:szCs w:val="20"/>
              </w:rPr>
              <w:t>Interactions, Warnings</w:t>
            </w:r>
          </w:p>
        </w:tc>
        <w:tc>
          <w:tcPr>
            <w:tcW w:w="1900" w:type="dxa"/>
            <w:tcMar>
              <w:top w:w="90" w:type="dxa"/>
              <w:left w:w="120" w:type="dxa"/>
              <w:bottom w:w="90" w:type="dxa"/>
              <w:right w:w="120" w:type="dxa"/>
            </w:tcMar>
          </w:tcPr>
          <w:p w14:paraId="761191AE" w14:textId="77777777" w:rsidR="00E62143" w:rsidRDefault="00000000">
            <w:r>
              <w:rPr>
                <w:sz w:val="20"/>
                <w:szCs w:val="20"/>
              </w:rPr>
              <w:t>Texto embebido</w:t>
            </w:r>
          </w:p>
        </w:tc>
        <w:tc>
          <w:tcPr>
            <w:tcW w:w="3900" w:type="dxa"/>
            <w:tcMar>
              <w:top w:w="90" w:type="dxa"/>
              <w:left w:w="120" w:type="dxa"/>
              <w:bottom w:w="90" w:type="dxa"/>
              <w:right w:w="120" w:type="dxa"/>
            </w:tcMar>
          </w:tcPr>
          <w:p w14:paraId="1B0EAB96" w14:textId="77777777" w:rsidR="00E62143" w:rsidRDefault="00000000">
            <w:r>
              <w:rPr>
                <w:sz w:val="20"/>
                <w:szCs w:val="20"/>
              </w:rPr>
              <w:t>Información informativa legítima</w:t>
            </w:r>
          </w:p>
        </w:tc>
      </w:tr>
      <w:tr w:rsidR="00E62143" w14:paraId="58F21E84" w14:textId="77777777">
        <w:tblPrEx>
          <w:tblCellMar>
            <w:top w:w="0" w:type="dxa"/>
            <w:bottom w:w="0" w:type="dxa"/>
          </w:tblCellMar>
        </w:tblPrEx>
        <w:tc>
          <w:tcPr>
            <w:tcW w:w="3200" w:type="dxa"/>
            <w:tcMar>
              <w:top w:w="90" w:type="dxa"/>
              <w:left w:w="120" w:type="dxa"/>
              <w:bottom w:w="90" w:type="dxa"/>
              <w:right w:w="120" w:type="dxa"/>
            </w:tcMar>
          </w:tcPr>
          <w:p w14:paraId="5919C45E" w14:textId="77777777" w:rsidR="00E62143" w:rsidRDefault="00000000">
            <w:r>
              <w:rPr>
                <w:sz w:val="20"/>
                <w:szCs w:val="20"/>
              </w:rPr>
              <w:t>Pregnancy Category</w:t>
            </w:r>
          </w:p>
        </w:tc>
        <w:tc>
          <w:tcPr>
            <w:tcW w:w="1900" w:type="dxa"/>
            <w:tcMar>
              <w:top w:w="90" w:type="dxa"/>
              <w:left w:w="120" w:type="dxa"/>
              <w:bottom w:w="90" w:type="dxa"/>
              <w:right w:w="120" w:type="dxa"/>
            </w:tcMar>
          </w:tcPr>
          <w:p w14:paraId="4C8F1F31" w14:textId="77777777" w:rsidR="00E62143" w:rsidRDefault="00000000">
            <w:r>
              <w:rPr>
                <w:sz w:val="20"/>
                <w:szCs w:val="20"/>
              </w:rPr>
              <w:t>Texto embebido</w:t>
            </w:r>
          </w:p>
        </w:tc>
        <w:tc>
          <w:tcPr>
            <w:tcW w:w="3900" w:type="dxa"/>
            <w:tcMar>
              <w:top w:w="90" w:type="dxa"/>
              <w:left w:w="120" w:type="dxa"/>
              <w:bottom w:w="90" w:type="dxa"/>
              <w:right w:w="120" w:type="dxa"/>
            </w:tcMar>
          </w:tcPr>
          <w:p w14:paraId="29AC7ADC" w14:textId="77777777" w:rsidR="00E62143" w:rsidRDefault="00000000">
            <w:r>
              <w:rPr>
                <w:sz w:val="20"/>
                <w:szCs w:val="20"/>
              </w:rPr>
              <w:t>Advertencia, no posología</w:t>
            </w:r>
          </w:p>
        </w:tc>
      </w:tr>
      <w:tr w:rsidR="00E62143" w14:paraId="7C4C1210" w14:textId="77777777">
        <w:tblPrEx>
          <w:tblCellMar>
            <w:top w:w="0" w:type="dxa"/>
            <w:bottom w:w="0" w:type="dxa"/>
          </w:tblCellMar>
        </w:tblPrEx>
        <w:tc>
          <w:tcPr>
            <w:tcW w:w="3200" w:type="dxa"/>
            <w:tcMar>
              <w:top w:w="90" w:type="dxa"/>
              <w:left w:w="120" w:type="dxa"/>
              <w:bottom w:w="90" w:type="dxa"/>
              <w:right w:w="120" w:type="dxa"/>
            </w:tcMar>
          </w:tcPr>
          <w:p w14:paraId="5B898A90" w14:textId="77777777" w:rsidR="00E62143" w:rsidRDefault="00000000">
            <w:r>
              <w:rPr>
                <w:sz w:val="20"/>
                <w:szCs w:val="20"/>
              </w:rPr>
              <w:t>Strength</w:t>
            </w:r>
          </w:p>
        </w:tc>
        <w:tc>
          <w:tcPr>
            <w:tcW w:w="1900" w:type="dxa"/>
            <w:tcMar>
              <w:top w:w="90" w:type="dxa"/>
              <w:left w:w="120" w:type="dxa"/>
              <w:bottom w:w="90" w:type="dxa"/>
              <w:right w:w="120" w:type="dxa"/>
            </w:tcMar>
          </w:tcPr>
          <w:p w14:paraId="4695A3A2" w14:textId="77777777" w:rsidR="00E62143" w:rsidRDefault="00000000">
            <w:r>
              <w:rPr>
                <w:sz w:val="20"/>
                <w:szCs w:val="20"/>
              </w:rPr>
              <w:t>Solo payload</w:t>
            </w:r>
          </w:p>
        </w:tc>
        <w:tc>
          <w:tcPr>
            <w:tcW w:w="3900" w:type="dxa"/>
            <w:tcMar>
              <w:top w:w="90" w:type="dxa"/>
              <w:left w:w="120" w:type="dxa"/>
              <w:bottom w:w="90" w:type="dxa"/>
              <w:right w:w="120" w:type="dxa"/>
            </w:tcMar>
          </w:tcPr>
          <w:p w14:paraId="75B35836" w14:textId="77777777" w:rsidR="00E62143" w:rsidRDefault="00000000">
            <w:r>
              <w:rPr>
                <w:sz w:val="20"/>
                <w:szCs w:val="20"/>
              </w:rPr>
              <w:t>Es dosis: no debe llegar al modelo generador</w:t>
            </w:r>
          </w:p>
        </w:tc>
      </w:tr>
      <w:tr w:rsidR="00E62143" w14:paraId="0076AE50" w14:textId="77777777">
        <w:tblPrEx>
          <w:tblCellMar>
            <w:top w:w="0" w:type="dxa"/>
            <w:bottom w:w="0" w:type="dxa"/>
          </w:tblCellMar>
        </w:tblPrEx>
        <w:tc>
          <w:tcPr>
            <w:tcW w:w="3200" w:type="dxa"/>
            <w:tcMar>
              <w:top w:w="90" w:type="dxa"/>
              <w:left w:w="120" w:type="dxa"/>
              <w:bottom w:w="90" w:type="dxa"/>
              <w:right w:w="120" w:type="dxa"/>
            </w:tcMar>
          </w:tcPr>
          <w:p w14:paraId="0D5DF929" w14:textId="77777777" w:rsidR="00E62143" w:rsidRDefault="00000000">
            <w:r>
              <w:rPr>
                <w:sz w:val="20"/>
                <w:szCs w:val="20"/>
              </w:rPr>
              <w:t>Dosage Form</w:t>
            </w:r>
          </w:p>
        </w:tc>
        <w:tc>
          <w:tcPr>
            <w:tcW w:w="1900" w:type="dxa"/>
            <w:tcMar>
              <w:top w:w="90" w:type="dxa"/>
              <w:left w:w="120" w:type="dxa"/>
              <w:bottom w:w="90" w:type="dxa"/>
              <w:right w:w="120" w:type="dxa"/>
            </w:tcMar>
          </w:tcPr>
          <w:p w14:paraId="692C4B6C" w14:textId="77777777" w:rsidR="00E62143" w:rsidRDefault="00000000">
            <w:r>
              <w:rPr>
                <w:sz w:val="20"/>
                <w:szCs w:val="20"/>
              </w:rPr>
              <w:t>Solo payload</w:t>
            </w:r>
          </w:p>
        </w:tc>
        <w:tc>
          <w:tcPr>
            <w:tcW w:w="3900" w:type="dxa"/>
            <w:tcMar>
              <w:top w:w="90" w:type="dxa"/>
              <w:left w:w="120" w:type="dxa"/>
              <w:bottom w:w="90" w:type="dxa"/>
              <w:right w:w="120" w:type="dxa"/>
            </w:tcMar>
          </w:tcPr>
          <w:p w14:paraId="63564A8B" w14:textId="77777777" w:rsidR="00E62143" w:rsidRDefault="00000000">
            <w:r>
              <w:rPr>
                <w:sz w:val="20"/>
                <w:szCs w:val="20"/>
              </w:rPr>
              <w:t>Asociado a presentación y dosificación</w:t>
            </w:r>
          </w:p>
        </w:tc>
      </w:tr>
      <w:tr w:rsidR="00E62143" w14:paraId="57FB0EB8" w14:textId="77777777">
        <w:tblPrEx>
          <w:tblCellMar>
            <w:top w:w="0" w:type="dxa"/>
            <w:bottom w:w="0" w:type="dxa"/>
          </w:tblCellMar>
        </w:tblPrEx>
        <w:tc>
          <w:tcPr>
            <w:tcW w:w="3200" w:type="dxa"/>
            <w:tcMar>
              <w:top w:w="90" w:type="dxa"/>
              <w:left w:w="120" w:type="dxa"/>
              <w:bottom w:w="90" w:type="dxa"/>
              <w:right w:w="120" w:type="dxa"/>
            </w:tcMar>
          </w:tcPr>
          <w:p w14:paraId="6409D12F" w14:textId="77777777" w:rsidR="00E62143" w:rsidRDefault="00000000">
            <w:r>
              <w:rPr>
                <w:sz w:val="20"/>
                <w:szCs w:val="20"/>
              </w:rPr>
              <w:t>Price, NDC, Manufacturer</w:t>
            </w:r>
          </w:p>
        </w:tc>
        <w:tc>
          <w:tcPr>
            <w:tcW w:w="1900" w:type="dxa"/>
            <w:tcMar>
              <w:top w:w="90" w:type="dxa"/>
              <w:left w:w="120" w:type="dxa"/>
              <w:bottom w:w="90" w:type="dxa"/>
              <w:right w:w="120" w:type="dxa"/>
            </w:tcMar>
          </w:tcPr>
          <w:p w14:paraId="67AAD2A9" w14:textId="77777777" w:rsidR="00E62143" w:rsidRDefault="00000000">
            <w:r>
              <w:rPr>
                <w:sz w:val="20"/>
                <w:szCs w:val="20"/>
              </w:rPr>
              <w:t>Solo payload</w:t>
            </w:r>
          </w:p>
        </w:tc>
        <w:tc>
          <w:tcPr>
            <w:tcW w:w="3900" w:type="dxa"/>
            <w:tcMar>
              <w:top w:w="90" w:type="dxa"/>
              <w:left w:w="120" w:type="dxa"/>
              <w:bottom w:w="90" w:type="dxa"/>
              <w:right w:w="120" w:type="dxa"/>
            </w:tcMar>
          </w:tcPr>
          <w:p w14:paraId="1F6099DA" w14:textId="77777777" w:rsidR="00E62143" w:rsidRDefault="00000000">
            <w:r>
              <w:rPr>
                <w:sz w:val="20"/>
                <w:szCs w:val="20"/>
              </w:rPr>
              <w:t>Dato comercial fuera del alcance declarado</w:t>
            </w:r>
          </w:p>
        </w:tc>
      </w:tr>
      <w:tr w:rsidR="00E62143" w14:paraId="308F2654" w14:textId="77777777">
        <w:tblPrEx>
          <w:tblCellMar>
            <w:top w:w="0" w:type="dxa"/>
            <w:bottom w:w="0" w:type="dxa"/>
          </w:tblCellMar>
        </w:tblPrEx>
        <w:tc>
          <w:tcPr>
            <w:tcW w:w="3200" w:type="dxa"/>
            <w:tcMar>
              <w:top w:w="90" w:type="dxa"/>
              <w:left w:w="120" w:type="dxa"/>
              <w:bottom w:w="90" w:type="dxa"/>
              <w:right w:w="120" w:type="dxa"/>
            </w:tcMar>
          </w:tcPr>
          <w:p w14:paraId="55709078" w14:textId="77777777" w:rsidR="00E62143" w:rsidRDefault="00000000">
            <w:r>
              <w:rPr>
                <w:sz w:val="20"/>
                <w:szCs w:val="20"/>
              </w:rPr>
              <w:t>Availability, Approval Date</w:t>
            </w:r>
          </w:p>
        </w:tc>
        <w:tc>
          <w:tcPr>
            <w:tcW w:w="1900" w:type="dxa"/>
            <w:tcMar>
              <w:top w:w="90" w:type="dxa"/>
              <w:left w:w="120" w:type="dxa"/>
              <w:bottom w:w="90" w:type="dxa"/>
              <w:right w:w="120" w:type="dxa"/>
            </w:tcMar>
          </w:tcPr>
          <w:p w14:paraId="5A632D73" w14:textId="77777777" w:rsidR="00E62143" w:rsidRDefault="00000000">
            <w:r>
              <w:rPr>
                <w:sz w:val="20"/>
                <w:szCs w:val="20"/>
              </w:rPr>
              <w:t>Solo payload</w:t>
            </w:r>
          </w:p>
        </w:tc>
        <w:tc>
          <w:tcPr>
            <w:tcW w:w="3900" w:type="dxa"/>
            <w:tcMar>
              <w:top w:w="90" w:type="dxa"/>
              <w:left w:w="120" w:type="dxa"/>
              <w:bottom w:w="90" w:type="dxa"/>
              <w:right w:w="120" w:type="dxa"/>
            </w:tcMar>
          </w:tcPr>
          <w:p w14:paraId="29D37729" w14:textId="77777777" w:rsidR="00E62143" w:rsidRDefault="00000000">
            <w:r>
              <w:rPr>
                <w:sz w:val="20"/>
                <w:szCs w:val="20"/>
              </w:rPr>
              <w:t>Dato administrativo, no clínico</w:t>
            </w:r>
          </w:p>
        </w:tc>
      </w:tr>
    </w:tbl>
    <w:p w14:paraId="7EBE3476" w14:textId="77777777" w:rsidR="00E62143" w:rsidRDefault="00E62143">
      <w:pPr>
        <w:spacing w:after="60" w:line="276" w:lineRule="auto"/>
      </w:pPr>
    </w:p>
    <w:p w14:paraId="61EF8BCD" w14:textId="77777777" w:rsidR="00E62143" w:rsidRDefault="00000000">
      <w:pPr>
        <w:spacing w:after="200" w:line="276" w:lineRule="auto"/>
      </w:pPr>
      <w:r>
        <w:t>Esta separación es la primera capa de control. La segunda es un guardrail de salida que inspecciona la respuesta ya generada. El principio de defensa en profundidad aplicado aquí proviene del material del módulo: ningún control único es suficiente por sí solo.</w:t>
      </w:r>
    </w:p>
    <w:p w14:paraId="3DD317E8" w14:textId="77777777" w:rsidR="00E62143" w:rsidRDefault="00000000">
      <w:pPr>
        <w:pStyle w:val="Ttulo1"/>
        <w:spacing w:before="280" w:after="140"/>
      </w:pPr>
      <w:r>
        <w:t>4. Idioma de consulta: decisión con evidencia</w:t>
      </w:r>
    </w:p>
    <w:p w14:paraId="6648F05A" w14:textId="77777777" w:rsidR="00E62143" w:rsidRDefault="00000000">
      <w:pPr>
        <w:spacing w:after="140" w:line="276" w:lineRule="auto"/>
      </w:pPr>
      <w:r>
        <w:t>El corpus está en inglés y los usuarios consultan en español. Se evaluaron tres opciones: traducir el corpus antes de indexar, consultar en español directamente contra documentos en inglés, o mantener el corpus original y traducir la consulta antes de embeberla.</w:t>
      </w:r>
    </w:p>
    <w:p w14:paraId="17399B11" w14:textId="77777777" w:rsidR="00E62143" w:rsidRDefault="00000000">
      <w:pPr>
        <w:spacing w:after="140" w:line="276" w:lineRule="auto"/>
      </w:pPr>
      <w:r>
        <w:t>Se descartó traducir el corpus por dos razones. Primero, la cita dejaría de apuntar a la fuente y pasaría a apuntar a una traducción automática, lo que en terminología farmacológica introduce un riesgo de error no evidente a simple vista. Segundo, la reproducibilidad de la indexación quedaría sujeta a la estabilidad de esa traducción.</w:t>
      </w:r>
    </w:p>
    <w:p w14:paraId="17FEA402" w14:textId="77777777" w:rsidR="00E62143" w:rsidRDefault="00000000">
      <w:pPr>
        <w:spacing w:after="140" w:line="276" w:lineRule="auto"/>
      </w:pPr>
      <w:r>
        <w:t>Entre las dos opciones restantes se realizó una medición sobre cuatro consultas representativas, comparando la similitud del primer resultado: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400"/>
        <w:gridCol w:w="1400"/>
        <w:gridCol w:w="2800"/>
      </w:tblGrid>
      <w:tr w:rsidR="00E62143" w14:paraId="7B2325F1" w14:textId="77777777">
        <w:tblPrEx>
          <w:tblCellMar>
            <w:top w:w="0" w:type="dxa"/>
            <w:bottom w:w="0" w:type="dxa"/>
          </w:tblCellMar>
        </w:tblPrEx>
        <w:trPr>
          <w:tblHeader/>
        </w:trPr>
        <w:tc>
          <w:tcPr>
            <w:tcW w:w="3400" w:type="dxa"/>
            <w:shd w:val="clear" w:color="auto" w:fill="E8E8E8"/>
            <w:tcMar>
              <w:top w:w="90" w:type="dxa"/>
              <w:left w:w="120" w:type="dxa"/>
              <w:bottom w:w="90" w:type="dxa"/>
              <w:right w:w="120" w:type="dxa"/>
            </w:tcMar>
          </w:tcPr>
          <w:p w14:paraId="1EE6A97C" w14:textId="77777777" w:rsidR="00E62143" w:rsidRDefault="00000000">
            <w:r>
              <w:rPr>
                <w:b/>
                <w:bCs/>
                <w:sz w:val="20"/>
                <w:szCs w:val="20"/>
              </w:rPr>
              <w:t>Consulta</w:t>
            </w:r>
          </w:p>
        </w:tc>
        <w:tc>
          <w:tcPr>
            <w:tcW w:w="1400" w:type="dxa"/>
            <w:shd w:val="clear" w:color="auto" w:fill="E8E8E8"/>
            <w:tcMar>
              <w:top w:w="90" w:type="dxa"/>
              <w:left w:w="120" w:type="dxa"/>
              <w:bottom w:w="90" w:type="dxa"/>
              <w:right w:w="120" w:type="dxa"/>
            </w:tcMar>
          </w:tcPr>
          <w:p w14:paraId="1200BBD6" w14:textId="77777777" w:rsidR="00E62143" w:rsidRDefault="00000000">
            <w:r>
              <w:rPr>
                <w:b/>
                <w:bCs/>
                <w:sz w:val="20"/>
                <w:szCs w:val="20"/>
              </w:rPr>
              <w:t>Score ES</w:t>
            </w:r>
          </w:p>
        </w:tc>
        <w:tc>
          <w:tcPr>
            <w:tcW w:w="1400" w:type="dxa"/>
            <w:shd w:val="clear" w:color="auto" w:fill="E8E8E8"/>
            <w:tcMar>
              <w:top w:w="90" w:type="dxa"/>
              <w:left w:w="120" w:type="dxa"/>
              <w:bottom w:w="90" w:type="dxa"/>
              <w:right w:w="120" w:type="dxa"/>
            </w:tcMar>
          </w:tcPr>
          <w:p w14:paraId="4132C6A7" w14:textId="77777777" w:rsidR="00E62143" w:rsidRDefault="00000000">
            <w:r>
              <w:rPr>
                <w:b/>
                <w:bCs/>
                <w:sz w:val="20"/>
                <w:szCs w:val="20"/>
              </w:rPr>
              <w:t>Score EN</w:t>
            </w:r>
          </w:p>
        </w:tc>
        <w:tc>
          <w:tcPr>
            <w:tcW w:w="2800" w:type="dxa"/>
            <w:shd w:val="clear" w:color="auto" w:fill="E8E8E8"/>
            <w:tcMar>
              <w:top w:w="90" w:type="dxa"/>
              <w:left w:w="120" w:type="dxa"/>
              <w:bottom w:w="90" w:type="dxa"/>
              <w:right w:w="120" w:type="dxa"/>
            </w:tcMar>
          </w:tcPr>
          <w:p w14:paraId="53FBBA33" w14:textId="77777777" w:rsidR="00E62143" w:rsidRDefault="00000000">
            <w:r>
              <w:rPr>
                <w:b/>
                <w:bCs/>
                <w:sz w:val="20"/>
                <w:szCs w:val="20"/>
              </w:rPr>
              <w:t>Top-1</w:t>
            </w:r>
          </w:p>
        </w:tc>
      </w:tr>
      <w:tr w:rsidR="00E62143" w14:paraId="145F207F" w14:textId="77777777">
        <w:tblPrEx>
          <w:tblCellMar>
            <w:top w:w="0" w:type="dxa"/>
            <w:bottom w:w="0" w:type="dxa"/>
          </w:tblCellMar>
        </w:tblPrEx>
        <w:tc>
          <w:tcPr>
            <w:tcW w:w="3400" w:type="dxa"/>
            <w:tcMar>
              <w:top w:w="90" w:type="dxa"/>
              <w:left w:w="120" w:type="dxa"/>
              <w:bottom w:w="90" w:type="dxa"/>
              <w:right w:w="120" w:type="dxa"/>
            </w:tcMar>
          </w:tcPr>
          <w:p w14:paraId="0E739294" w14:textId="77777777" w:rsidR="00E62143" w:rsidRDefault="00000000">
            <w:r>
              <w:rPr>
                <w:sz w:val="20"/>
                <w:szCs w:val="20"/>
              </w:rPr>
              <w:t>¿Para qué sirve la aspirina?</w:t>
            </w:r>
          </w:p>
        </w:tc>
        <w:tc>
          <w:tcPr>
            <w:tcW w:w="1400" w:type="dxa"/>
            <w:tcMar>
              <w:top w:w="90" w:type="dxa"/>
              <w:left w:w="120" w:type="dxa"/>
              <w:bottom w:w="90" w:type="dxa"/>
              <w:right w:w="120" w:type="dxa"/>
            </w:tcMar>
          </w:tcPr>
          <w:p w14:paraId="02CAED58" w14:textId="77777777" w:rsidR="00E62143" w:rsidRDefault="00000000">
            <w:r>
              <w:rPr>
                <w:sz w:val="20"/>
                <w:szCs w:val="20"/>
              </w:rPr>
              <w:t>0,5146</w:t>
            </w:r>
          </w:p>
        </w:tc>
        <w:tc>
          <w:tcPr>
            <w:tcW w:w="1400" w:type="dxa"/>
            <w:tcMar>
              <w:top w:w="90" w:type="dxa"/>
              <w:left w:w="120" w:type="dxa"/>
              <w:bottom w:w="90" w:type="dxa"/>
              <w:right w:w="120" w:type="dxa"/>
            </w:tcMar>
          </w:tcPr>
          <w:p w14:paraId="3DFFF793" w14:textId="77777777" w:rsidR="00E62143" w:rsidRDefault="00000000">
            <w:r>
              <w:rPr>
                <w:sz w:val="20"/>
                <w:szCs w:val="20"/>
              </w:rPr>
              <w:t>0,5599</w:t>
            </w:r>
          </w:p>
        </w:tc>
        <w:tc>
          <w:tcPr>
            <w:tcW w:w="2800" w:type="dxa"/>
            <w:tcMar>
              <w:top w:w="90" w:type="dxa"/>
              <w:left w:w="120" w:type="dxa"/>
              <w:bottom w:w="90" w:type="dxa"/>
              <w:right w:w="120" w:type="dxa"/>
            </w:tcMar>
          </w:tcPr>
          <w:p w14:paraId="1FC99B7F" w14:textId="77777777" w:rsidR="00E62143" w:rsidRDefault="00000000">
            <w:r>
              <w:rPr>
                <w:sz w:val="20"/>
                <w:szCs w:val="20"/>
              </w:rPr>
              <w:t>Aspirin (igual en ambos)</w:t>
            </w:r>
          </w:p>
        </w:tc>
      </w:tr>
      <w:tr w:rsidR="00E62143" w14:paraId="2D7E6509" w14:textId="77777777">
        <w:tblPrEx>
          <w:tblCellMar>
            <w:top w:w="0" w:type="dxa"/>
            <w:bottom w:w="0" w:type="dxa"/>
          </w:tblCellMar>
        </w:tblPrEx>
        <w:tc>
          <w:tcPr>
            <w:tcW w:w="3400" w:type="dxa"/>
            <w:tcMar>
              <w:top w:w="90" w:type="dxa"/>
              <w:left w:w="120" w:type="dxa"/>
              <w:bottom w:w="90" w:type="dxa"/>
              <w:right w:w="120" w:type="dxa"/>
            </w:tcMar>
          </w:tcPr>
          <w:p w14:paraId="206E54F2" w14:textId="77777777" w:rsidR="00E62143" w:rsidRDefault="00000000">
            <w:r>
              <w:rPr>
                <w:sz w:val="20"/>
                <w:szCs w:val="20"/>
              </w:rPr>
              <w:t>Efectos secundarios de un antibiótico</w:t>
            </w:r>
          </w:p>
        </w:tc>
        <w:tc>
          <w:tcPr>
            <w:tcW w:w="1400" w:type="dxa"/>
            <w:tcMar>
              <w:top w:w="90" w:type="dxa"/>
              <w:left w:w="120" w:type="dxa"/>
              <w:bottom w:w="90" w:type="dxa"/>
              <w:right w:w="120" w:type="dxa"/>
            </w:tcMar>
          </w:tcPr>
          <w:p w14:paraId="43BD9338" w14:textId="77777777" w:rsidR="00E62143" w:rsidRDefault="00000000">
            <w:r>
              <w:rPr>
                <w:sz w:val="20"/>
                <w:szCs w:val="20"/>
              </w:rPr>
              <w:t>0,4309</w:t>
            </w:r>
          </w:p>
        </w:tc>
        <w:tc>
          <w:tcPr>
            <w:tcW w:w="1400" w:type="dxa"/>
            <w:tcMar>
              <w:top w:w="90" w:type="dxa"/>
              <w:left w:w="120" w:type="dxa"/>
              <w:bottom w:w="90" w:type="dxa"/>
              <w:right w:w="120" w:type="dxa"/>
            </w:tcMar>
          </w:tcPr>
          <w:p w14:paraId="5AC593DF" w14:textId="77777777" w:rsidR="00E62143" w:rsidRDefault="00000000">
            <w:r>
              <w:rPr>
                <w:sz w:val="20"/>
                <w:szCs w:val="20"/>
              </w:rPr>
              <w:t>0,4914</w:t>
            </w:r>
          </w:p>
        </w:tc>
        <w:tc>
          <w:tcPr>
            <w:tcW w:w="2800" w:type="dxa"/>
            <w:tcMar>
              <w:top w:w="90" w:type="dxa"/>
              <w:left w:w="120" w:type="dxa"/>
              <w:bottom w:w="90" w:type="dxa"/>
              <w:right w:w="120" w:type="dxa"/>
            </w:tcMar>
          </w:tcPr>
          <w:p w14:paraId="68C6CB9E" w14:textId="77777777" w:rsidR="00E62143" w:rsidRDefault="00000000">
            <w:r>
              <w:rPr>
                <w:sz w:val="20"/>
                <w:szCs w:val="20"/>
              </w:rPr>
              <w:t>Amoxicillin (igual)</w:t>
            </w:r>
          </w:p>
        </w:tc>
      </w:tr>
      <w:tr w:rsidR="00E62143" w14:paraId="2D7E11F9" w14:textId="77777777">
        <w:tblPrEx>
          <w:tblCellMar>
            <w:top w:w="0" w:type="dxa"/>
            <w:bottom w:w="0" w:type="dxa"/>
          </w:tblCellMar>
        </w:tblPrEx>
        <w:tc>
          <w:tcPr>
            <w:tcW w:w="3400" w:type="dxa"/>
            <w:tcMar>
              <w:top w:w="90" w:type="dxa"/>
              <w:left w:w="120" w:type="dxa"/>
              <w:bottom w:w="90" w:type="dxa"/>
              <w:right w:w="120" w:type="dxa"/>
            </w:tcMar>
          </w:tcPr>
          <w:p w14:paraId="64F6CEAD" w14:textId="77777777" w:rsidR="00E62143" w:rsidRDefault="00000000">
            <w:r>
              <w:rPr>
                <w:sz w:val="20"/>
                <w:szCs w:val="20"/>
              </w:rPr>
              <w:t>Medicamento para la presión alta</w:t>
            </w:r>
          </w:p>
        </w:tc>
        <w:tc>
          <w:tcPr>
            <w:tcW w:w="1400" w:type="dxa"/>
            <w:tcMar>
              <w:top w:w="90" w:type="dxa"/>
              <w:left w:w="120" w:type="dxa"/>
              <w:bottom w:w="90" w:type="dxa"/>
              <w:right w:w="120" w:type="dxa"/>
            </w:tcMar>
          </w:tcPr>
          <w:p w14:paraId="6B63BCD4" w14:textId="77777777" w:rsidR="00E62143" w:rsidRDefault="00000000">
            <w:r>
              <w:rPr>
                <w:sz w:val="20"/>
                <w:szCs w:val="20"/>
              </w:rPr>
              <w:t>0,4221</w:t>
            </w:r>
          </w:p>
        </w:tc>
        <w:tc>
          <w:tcPr>
            <w:tcW w:w="1400" w:type="dxa"/>
            <w:tcMar>
              <w:top w:w="90" w:type="dxa"/>
              <w:left w:w="120" w:type="dxa"/>
              <w:bottom w:w="90" w:type="dxa"/>
              <w:right w:w="120" w:type="dxa"/>
            </w:tcMar>
          </w:tcPr>
          <w:p w14:paraId="6C500620" w14:textId="77777777" w:rsidR="00E62143" w:rsidRDefault="00000000">
            <w:r>
              <w:rPr>
                <w:sz w:val="20"/>
                <w:szCs w:val="20"/>
              </w:rPr>
              <w:t>0,5102</w:t>
            </w:r>
          </w:p>
        </w:tc>
        <w:tc>
          <w:tcPr>
            <w:tcW w:w="2800" w:type="dxa"/>
            <w:tcMar>
              <w:top w:w="90" w:type="dxa"/>
              <w:left w:w="120" w:type="dxa"/>
              <w:bottom w:w="90" w:type="dxa"/>
              <w:right w:w="120" w:type="dxa"/>
            </w:tcMar>
          </w:tcPr>
          <w:p w14:paraId="5507F63B" w14:textId="77777777" w:rsidR="00E62143" w:rsidRDefault="00000000">
            <w:r>
              <w:rPr>
                <w:sz w:val="20"/>
                <w:szCs w:val="20"/>
              </w:rPr>
              <w:t>Hydrochlorothiazide / Lisinopril (igual)</w:t>
            </w:r>
          </w:p>
        </w:tc>
      </w:tr>
      <w:tr w:rsidR="00E62143" w14:paraId="643CE970" w14:textId="77777777">
        <w:tblPrEx>
          <w:tblCellMar>
            <w:top w:w="0" w:type="dxa"/>
            <w:bottom w:w="0" w:type="dxa"/>
          </w:tblCellMar>
        </w:tblPrEx>
        <w:tc>
          <w:tcPr>
            <w:tcW w:w="3400" w:type="dxa"/>
            <w:tcMar>
              <w:top w:w="90" w:type="dxa"/>
              <w:left w:w="120" w:type="dxa"/>
              <w:bottom w:w="90" w:type="dxa"/>
              <w:right w:w="120" w:type="dxa"/>
            </w:tcMar>
          </w:tcPr>
          <w:p w14:paraId="58843D72" w14:textId="77777777" w:rsidR="00E62143" w:rsidRDefault="00000000">
            <w:r>
              <w:rPr>
                <w:sz w:val="20"/>
                <w:szCs w:val="20"/>
              </w:rPr>
              <w:t>Contraindicaciones del ibuprofeno</w:t>
            </w:r>
          </w:p>
        </w:tc>
        <w:tc>
          <w:tcPr>
            <w:tcW w:w="1400" w:type="dxa"/>
            <w:tcMar>
              <w:top w:w="90" w:type="dxa"/>
              <w:left w:w="120" w:type="dxa"/>
              <w:bottom w:w="90" w:type="dxa"/>
              <w:right w:w="120" w:type="dxa"/>
            </w:tcMar>
          </w:tcPr>
          <w:p w14:paraId="64361CE6" w14:textId="77777777" w:rsidR="00E62143" w:rsidRDefault="00000000">
            <w:r>
              <w:rPr>
                <w:sz w:val="20"/>
                <w:szCs w:val="20"/>
              </w:rPr>
              <w:t>0,4956</w:t>
            </w:r>
          </w:p>
        </w:tc>
        <w:tc>
          <w:tcPr>
            <w:tcW w:w="1400" w:type="dxa"/>
            <w:tcMar>
              <w:top w:w="90" w:type="dxa"/>
              <w:left w:w="120" w:type="dxa"/>
              <w:bottom w:w="90" w:type="dxa"/>
              <w:right w:w="120" w:type="dxa"/>
            </w:tcMar>
          </w:tcPr>
          <w:p w14:paraId="0AFF7F45" w14:textId="77777777" w:rsidR="00E62143" w:rsidRDefault="00000000">
            <w:r>
              <w:rPr>
                <w:sz w:val="20"/>
                <w:szCs w:val="20"/>
              </w:rPr>
              <w:t>0,5559</w:t>
            </w:r>
          </w:p>
        </w:tc>
        <w:tc>
          <w:tcPr>
            <w:tcW w:w="2800" w:type="dxa"/>
            <w:tcMar>
              <w:top w:w="90" w:type="dxa"/>
              <w:left w:w="120" w:type="dxa"/>
              <w:bottom w:w="90" w:type="dxa"/>
              <w:right w:w="120" w:type="dxa"/>
            </w:tcMar>
          </w:tcPr>
          <w:p w14:paraId="06C23A22" w14:textId="77777777" w:rsidR="00E62143" w:rsidRDefault="00000000">
            <w:r>
              <w:rPr>
                <w:sz w:val="20"/>
                <w:szCs w:val="20"/>
              </w:rPr>
              <w:t>Ibuprofen (igual)</w:t>
            </w:r>
          </w:p>
        </w:tc>
      </w:tr>
    </w:tbl>
    <w:p w14:paraId="0FD46BA5" w14:textId="77777777" w:rsidR="00E62143" w:rsidRDefault="00E62143">
      <w:pPr>
        <w:spacing w:after="60" w:line="276" w:lineRule="auto"/>
      </w:pPr>
    </w:p>
    <w:p w14:paraId="63325961" w14:textId="77777777" w:rsidR="00E62143" w:rsidRDefault="00000000">
      <w:pPr>
        <w:spacing w:after="140" w:line="276" w:lineRule="auto"/>
      </w:pPr>
      <w:r>
        <w:t>La traducción previa mejora la similitud en las cuatro consultas, con incrementos entre 0,045 y 0,088. El resultado es consistente y confirma lo esperado: la coincidencia monolingüe supera a la interlingüística.</w:t>
      </w:r>
    </w:p>
    <w:p w14:paraId="1D9BC02C" w14:textId="77777777" w:rsidR="00E62143" w:rsidRDefault="00000000">
      <w:pPr>
        <w:spacing w:after="140" w:line="276" w:lineRule="auto"/>
      </w:pPr>
      <w:r>
        <w:rPr>
          <w:i/>
          <w:iCs/>
        </w:rPr>
        <w:t>Lectura honesta del hallazgo: en las cuatro consultas el primer resultado es el mismo documento en ambas versiones. La recuperación en español ya acertaba; la traducción aumentó la confianza sin corregir errores. La decisión adoptada aporta margen de seguridad, no rescate. Se documenta así para no sobreestimar el hallazgo.</w:t>
      </w:r>
    </w:p>
    <w:p w14:paraId="7B281AF8" w14:textId="77777777" w:rsidR="00E62143" w:rsidRDefault="00000000">
      <w:pPr>
        <w:spacing w:after="140" w:line="276" w:lineRule="auto"/>
      </w:pPr>
      <w:r>
        <w:t>Decisión adoptada: corpus indexado en inglés, consulta traducida al inglés antes de embeber, respuesta final entregada en español.</w:t>
      </w:r>
    </w:p>
    <w:p w14:paraId="4C9F84C5" w14:textId="77777777" w:rsidR="00E62143" w:rsidRDefault="00000000">
      <w:pPr>
        <w:pStyle w:val="Ttulo1"/>
        <w:spacing w:before="280" w:after="140"/>
      </w:pPr>
      <w:r>
        <w:t>5. Deduplicación: revisión de un supuesto inicial</w:t>
      </w:r>
    </w:p>
    <w:p w14:paraId="1EB549F8" w14:textId="77777777" w:rsidR="00E62143" w:rsidRDefault="00000000">
      <w:pPr>
        <w:pStyle w:val="Ttulo2"/>
        <w:spacing w:before="280" w:after="140"/>
      </w:pPr>
      <w:r>
        <w:t>5.1 El problema detectado</w:t>
      </w:r>
    </w:p>
    <w:p w14:paraId="2BE35EC0" w14:textId="77777777" w:rsidR="00E62143" w:rsidRDefault="00000000">
      <w:pPr>
        <w:spacing w:after="140" w:line="276" w:lineRule="auto"/>
      </w:pPr>
      <w:r>
        <w:t>Una consulta de prueba sobre efectos secundarios de antibióticos devolvió tres resultados de Amoxicillin con similitud idéntica. Tres posiciones del resultado ocupadas por el mismo contenido implica desperdiciar el contexto disponible.</w:t>
      </w:r>
    </w:p>
    <w:p w14:paraId="4CB6B34E" w14:textId="77777777" w:rsidR="00E62143" w:rsidRDefault="00000000">
      <w:pPr>
        <w:spacing w:after="140" w:line="276" w:lineRule="auto"/>
      </w:pPr>
      <w:r>
        <w:t>La causa es una consecuencia directa de la decisión de seguridad anterior. Al excluir concentración y forma farmacéutica del texto embebido, las distintas presentaciones de un mismo medicamento producen texto idéntico y, por lo tanto, vectores idénticos.</w:t>
      </w:r>
    </w:p>
    <w:p w14:paraId="1809A316" w14:textId="77777777" w:rsidR="00E62143" w:rsidRDefault="00000000">
      <w:pPr>
        <w:pStyle w:val="Ttulo2"/>
        <w:spacing w:before="280" w:after="140"/>
      </w:pPr>
      <w:r>
        <w:lastRenderedPageBreak/>
        <w:t>5.2 Corrección de un diagnóstico errado</w:t>
      </w:r>
    </w:p>
    <w:p w14:paraId="44C23E1C" w14:textId="77777777" w:rsidR="00E62143" w:rsidRDefault="00000000">
      <w:pPr>
        <w:spacing w:after="140" w:line="276" w:lineRule="auto"/>
      </w:pPr>
      <w:r>
        <w:t>La hipótesis inicial fue que el dataset contenía filas duplicadas exactas. La verificación sobre el archivo completo la desmintió: no existe ninguna fila idéntica a otra, ni considerando todas las columnas ni excluyendo el identificador. Los registros que parecían repetidos difieren en código de producto y precio.</w:t>
      </w:r>
    </w:p>
    <w:p w14:paraId="6AD59E12" w14:textId="77777777" w:rsidR="00E62143" w:rsidRDefault="00000000">
      <w:pPr>
        <w:spacing w:after="140" w:line="276" w:lineRule="auto"/>
      </w:pPr>
      <w:r>
        <w:t>También resultó impreciso describir el resultado como descartar la mitad del archivo. De los 105 grupos resultantes, 71 corresponden a fichas únicas que no se agruparon con ninguna otra. Solo 34 grupos contienen más de un registro, y dentro de ellos los once campos farmacológicos son idénticos: varían exclusivamente concentración, precio, código de producto, fecha de aprobación y, en pocos casos, fabricante y forma.</w:t>
      </w:r>
    </w:p>
    <w:p w14:paraId="201E19F1" w14:textId="77777777" w:rsidR="00E62143" w:rsidRDefault="00000000">
      <w:pPr>
        <w:spacing w:after="140" w:line="276" w:lineRule="auto"/>
      </w:pPr>
      <w:r>
        <w:t>Conclusión: no se descartó información farmacológica. Se agrupó texto redundante que habría producido vectores indistinguibles.</w:t>
      </w:r>
    </w:p>
    <w:p w14:paraId="3DD600B4" w14:textId="77777777" w:rsidR="00E62143" w:rsidRDefault="00000000">
      <w:pPr>
        <w:pStyle w:val="Ttulo2"/>
        <w:spacing w:before="280" w:after="140"/>
      </w:pPr>
      <w:r>
        <w:t>5.3 Preservación de la metadata</w:t>
      </w:r>
    </w:p>
    <w:p w14:paraId="55E5BE2C" w14:textId="77777777" w:rsidR="00E62143" w:rsidRDefault="00000000">
      <w:pPr>
        <w:spacing w:after="140" w:line="276" w:lineRule="auto"/>
      </w:pPr>
      <w:r>
        <w:t>La primera implementación de la agrupación conservaba en el payload los valores del primer registro de cada grupo, lo que hacía que la ficha afirmara un precio y un código de producto que eran simplemente los del registro que llegó primero. Una segunda versión los guardó como listas independientes, lo que eliminó la afirmación falsa pero perdió la correspondencia entre concentración y precio.</w:t>
      </w:r>
    </w:p>
    <w:p w14:paraId="69BD9472" w14:textId="77777777" w:rsidR="00E62143" w:rsidRDefault="00000000">
      <w:pPr>
        <w:spacing w:after="140" w:line="276" w:lineRule="auto"/>
      </w:pPr>
      <w:r>
        <w:t>La versión final guarda las presentaciones como una lista de objetos, un objeto por registro original del archivo, cada uno con su concentración, precio, código, fabricante y fecha, más el identificador de la fila de origen para trazabilidad.</w:t>
      </w:r>
    </w:p>
    <w:p w14:paraId="28F4B9EC" w14:textId="77777777" w:rsidR="00E62143" w:rsidRDefault="00000000">
      <w:pPr>
        <w:spacing w:after="60"/>
        <w:ind w:left="360"/>
      </w:pPr>
      <w:r>
        <w:rPr>
          <w:rFonts w:ascii="Consolas" w:eastAsia="Consolas" w:hAnsi="Consolas" w:cs="Consolas"/>
          <w:sz w:val="18"/>
          <w:szCs w:val="18"/>
        </w:rPr>
        <w:t>"presentaciones": [</w:t>
      </w:r>
    </w:p>
    <w:p w14:paraId="4F8D6AC6" w14:textId="77777777" w:rsidR="00E62143" w:rsidRDefault="00000000">
      <w:pPr>
        <w:spacing w:after="60"/>
        <w:ind w:left="360"/>
      </w:pPr>
      <w:r>
        <w:rPr>
          <w:rFonts w:ascii="Consolas" w:eastAsia="Consolas" w:hAnsi="Consolas" w:cs="Consolas"/>
          <w:sz w:val="18"/>
          <w:szCs w:val="18"/>
        </w:rPr>
        <w:t xml:space="preserve">  { "Strength": "75 mcg", "Price": "3.99", "NDC": "67890123474", "drug_id": "69" },</w:t>
      </w:r>
    </w:p>
    <w:p w14:paraId="7F46182D" w14:textId="77777777" w:rsidR="00E62143" w:rsidRDefault="00000000">
      <w:pPr>
        <w:spacing w:after="60"/>
        <w:ind w:left="360"/>
      </w:pPr>
      <w:r>
        <w:rPr>
          <w:rFonts w:ascii="Consolas" w:eastAsia="Consolas" w:hAnsi="Consolas" w:cs="Consolas"/>
          <w:sz w:val="18"/>
          <w:szCs w:val="18"/>
        </w:rPr>
        <w:t xml:space="preserve">  { "Strength": "75 mcg", "Price": "2.99", "NDC": "56789012351", "drug_id": "167" },</w:t>
      </w:r>
    </w:p>
    <w:p w14:paraId="3F1A65EB" w14:textId="77777777" w:rsidR="00E62143" w:rsidRDefault="00000000">
      <w:pPr>
        <w:spacing w:after="60"/>
        <w:ind w:left="360"/>
      </w:pPr>
      <w:r>
        <w:rPr>
          <w:rFonts w:ascii="Consolas" w:eastAsia="Consolas" w:hAnsi="Consolas" w:cs="Consolas"/>
          <w:sz w:val="18"/>
          <w:szCs w:val="18"/>
        </w:rPr>
        <w:t xml:space="preserve">  { "Strength": "100 mcg", "Price": "4.99", "NDC": "12345678914", "drug_id": "101" }</w:t>
      </w:r>
    </w:p>
    <w:p w14:paraId="72C4ADAD" w14:textId="77777777" w:rsidR="00E62143" w:rsidRDefault="00000000">
      <w:pPr>
        <w:spacing w:after="60"/>
        <w:ind w:left="360"/>
      </w:pPr>
      <w:r>
        <w:rPr>
          <w:rFonts w:ascii="Consolas" w:eastAsia="Consolas" w:hAnsi="Consolas" w:cs="Consolas"/>
          <w:sz w:val="18"/>
          <w:szCs w:val="18"/>
        </w:rPr>
        <w:t>]</w:t>
      </w:r>
    </w:p>
    <w:p w14:paraId="7E47C6B9" w14:textId="77777777" w:rsidR="00E62143" w:rsidRDefault="00000000">
      <w:pPr>
        <w:spacing w:after="200" w:line="276" w:lineRule="auto"/>
      </w:pPr>
      <w:r>
        <w:t>El resultado: 105 vectores desde 220 registros, sin pérdida de metadata y sin afirmaciones inventadas.</w:t>
      </w:r>
    </w:p>
    <w:p w14:paraId="229F913C" w14:textId="77777777" w:rsidR="00E62143" w:rsidRDefault="00000000">
      <w:pPr>
        <w:pStyle w:val="Ttulo1"/>
        <w:spacing w:before="280" w:after="140"/>
      </w:pPr>
      <w:r>
        <w:t>6. Restricciones de entorno</w:t>
      </w:r>
    </w:p>
    <w:p w14:paraId="5E935F2C" w14:textId="77777777" w:rsidR="00E62143" w:rsidRDefault="00000000">
      <w:pPr>
        <w:spacing w:after="140" w:line="276" w:lineRule="auto"/>
      </w:pPr>
      <w:r>
        <w:t>El cliente oficial de la base vectorial no pudo utilizarse: su dependencia de gRPC fue bloqueada por la política de Control de aplicaciones del sistema operativo al intentar cargar una biblioteca nativa. En lugar de desactivar controles de seguridad del equipo, se implementó un cliente propio sobre la API REST del servicio, que expone la misma funcionalidad por HTTP.</w:t>
      </w:r>
    </w:p>
    <w:p w14:paraId="56B6F38C" w14:textId="77777777" w:rsidR="00E62143" w:rsidRDefault="00000000">
      <w:pPr>
        <w:spacing w:after="140" w:line="276" w:lineRule="auto"/>
      </w:pPr>
      <w:r>
        <w:t>La decisión mantiene intactos los controles del entorno y elimina una dependencia binaria. El costo es que la integración de alto nivel del framework no puede usarse directamente y la recuperación debe implementarse de forma explícita.</w:t>
      </w:r>
    </w:p>
    <w:p w14:paraId="43AA3686" w14:textId="77777777" w:rsidR="00E62143" w:rsidRDefault="00000000">
      <w:pPr>
        <w:pStyle w:val="Ttulo1"/>
        <w:spacing w:before="280" w:after="140"/>
      </w:pPr>
      <w:r>
        <w:t>7. Estado del desarrollo</w:t>
      </w:r>
    </w:p>
    <w:p w14:paraId="73FA8566" w14:textId="77777777" w:rsidR="00E62143" w:rsidRDefault="00000000">
      <w:pPr>
        <w:spacing w:after="140" w:line="276" w:lineRule="auto"/>
      </w:pPr>
      <w:r>
        <w:t>Completado:</w:t>
      </w:r>
    </w:p>
    <w:p w14:paraId="6CDC8846" w14:textId="77777777" w:rsidR="00E62143" w:rsidRDefault="00000000">
      <w:pPr>
        <w:pStyle w:val="Prrafodelista"/>
        <w:numPr>
          <w:ilvl w:val="0"/>
          <w:numId w:val="2"/>
        </w:numPr>
        <w:spacing w:after="90" w:line="276" w:lineRule="auto"/>
      </w:pPr>
      <w:r>
        <w:t>Entorno reproducible con gestor de dependencias y control de versiones, con credenciales excluidas del repositorio.</w:t>
      </w:r>
    </w:p>
    <w:p w14:paraId="6364C6C2" w14:textId="77777777" w:rsidR="00E62143" w:rsidRDefault="00000000">
      <w:pPr>
        <w:pStyle w:val="Prrafodelista"/>
        <w:numPr>
          <w:ilvl w:val="0"/>
          <w:numId w:val="2"/>
        </w:numPr>
        <w:spacing w:after="90" w:line="276" w:lineRule="auto"/>
      </w:pPr>
      <w:r>
        <w:t>Grafo de orquestación con enrutamiento por intención y persistencia de historial por usuario, verificado con turnos dependientes.</w:t>
      </w:r>
    </w:p>
    <w:p w14:paraId="2C29FEE2" w14:textId="77777777" w:rsidR="00E62143" w:rsidRDefault="00000000">
      <w:pPr>
        <w:pStyle w:val="Prrafodelista"/>
        <w:numPr>
          <w:ilvl w:val="0"/>
          <w:numId w:val="2"/>
        </w:numPr>
        <w:spacing w:after="90" w:line="276" w:lineRule="auto"/>
      </w:pPr>
      <w:r>
        <w:lastRenderedPageBreak/>
        <w:t>Colección vectorial creada y poblada: 105 fichas indexadas con metadata agrupada.</w:t>
      </w:r>
    </w:p>
    <w:p w14:paraId="6223E7FC" w14:textId="77777777" w:rsidR="00E62143" w:rsidRDefault="00000000">
      <w:pPr>
        <w:pStyle w:val="Prrafodelista"/>
        <w:numPr>
          <w:ilvl w:val="0"/>
          <w:numId w:val="2"/>
        </w:numPr>
        <w:spacing w:after="90" w:line="276" w:lineRule="auto"/>
      </w:pPr>
      <w:r>
        <w:t>Separación de campos sensibles fuera del texto embebido, como primera capa de control.</w:t>
      </w:r>
    </w:p>
    <w:p w14:paraId="16879E1E" w14:textId="77777777" w:rsidR="00E62143" w:rsidRDefault="00000000">
      <w:pPr>
        <w:pStyle w:val="Prrafodelista"/>
        <w:numPr>
          <w:ilvl w:val="0"/>
          <w:numId w:val="2"/>
        </w:numPr>
        <w:spacing w:after="90" w:line="276" w:lineRule="auto"/>
      </w:pPr>
      <w:r>
        <w:t>Medición comparativa del idioma de consulta, con resultados documentados.</w:t>
      </w:r>
    </w:p>
    <w:p w14:paraId="6BC9AA21" w14:textId="77777777" w:rsidR="00E62143" w:rsidRDefault="00000000">
      <w:pPr>
        <w:spacing w:after="90" w:line="276" w:lineRule="auto"/>
      </w:pPr>
      <w:r>
        <w:t>Pendiente:</w:t>
      </w:r>
    </w:p>
    <w:p w14:paraId="3290ADE6" w14:textId="77777777" w:rsidR="00E62143" w:rsidRDefault="00000000">
      <w:pPr>
        <w:pStyle w:val="Prrafodelista"/>
        <w:numPr>
          <w:ilvl w:val="0"/>
          <w:numId w:val="2"/>
        </w:numPr>
        <w:spacing w:after="90" w:line="276" w:lineRule="auto"/>
      </w:pPr>
      <w:r>
        <w:t>Herramienta de recuperación semántica conectada al grafo, con traducción de consulta y citación de la ficha recuperada.</w:t>
      </w:r>
    </w:p>
    <w:p w14:paraId="736C1868" w14:textId="77777777" w:rsidR="00E62143" w:rsidRDefault="00000000">
      <w:pPr>
        <w:pStyle w:val="Prrafodelista"/>
        <w:numPr>
          <w:ilvl w:val="0"/>
          <w:numId w:val="2"/>
        </w:numPr>
        <w:spacing w:after="90" w:line="276" w:lineRule="auto"/>
      </w:pPr>
      <w:r>
        <w:t>Herramienta de consulta de turnos en vivo, con tiempo de espera acotado, caché breve y respaldo rotulado.</w:t>
      </w:r>
    </w:p>
    <w:p w14:paraId="14F15568" w14:textId="77777777" w:rsidR="00E62143" w:rsidRDefault="00000000">
      <w:pPr>
        <w:pStyle w:val="Prrafodelista"/>
        <w:numPr>
          <w:ilvl w:val="0"/>
          <w:numId w:val="2"/>
        </w:numPr>
        <w:spacing w:after="90" w:line="276" w:lineRule="auto"/>
      </w:pPr>
      <w:r>
        <w:t>Guardrail de salida y batería de pruebas adversarias.</w:t>
      </w:r>
    </w:p>
    <w:p w14:paraId="09662192" w14:textId="77777777" w:rsidR="00E62143" w:rsidRDefault="00000000">
      <w:pPr>
        <w:pStyle w:val="Prrafodelista"/>
        <w:numPr>
          <w:ilvl w:val="0"/>
          <w:numId w:val="2"/>
        </w:numPr>
        <w:spacing w:after="90" w:line="276" w:lineRule="auto"/>
      </w:pPr>
      <w:r>
        <w:t>Interfaz de programación, interfaz de usuario y despliegue en la nube.</w:t>
      </w:r>
    </w:p>
    <w:p w14:paraId="2E2286A7" w14:textId="77777777" w:rsidR="00E62143" w:rsidRDefault="00000000">
      <w:pPr>
        <w:pStyle w:val="Prrafodelista"/>
        <w:numPr>
          <w:ilvl w:val="0"/>
          <w:numId w:val="2"/>
        </w:numPr>
        <w:spacing w:after="90" w:line="276" w:lineRule="auto"/>
      </w:pPr>
      <w:r>
        <w:t>Informe de seguridad, privacidad y calidad, y matriz de riesgos.</w:t>
      </w:r>
    </w:p>
    <w:p w14:paraId="7D947960" w14:textId="77777777" w:rsidR="00E62143" w:rsidRDefault="00000000">
      <w:pPr>
        <w:pBdr>
          <w:top w:val="single" w:sz="6" w:space="8" w:color="999999"/>
        </w:pBdr>
        <w:spacing w:before="400"/>
      </w:pPr>
      <w:r>
        <w:rPr>
          <w:i/>
          <w:iCs/>
          <w:color w:val="555555"/>
          <w:sz w:val="18"/>
          <w:szCs w:val="18"/>
        </w:rPr>
        <w:t>Documento de trabajo. Registra decisiones y evidencia hasta la fase de ingesta del corpus.</w:t>
      </w:r>
    </w:p>
    <w:sectPr w:rsidR="00E62143">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3306"/>
    <w:multiLevelType w:val="hybridMultilevel"/>
    <w:tmpl w:val="67BE5BC8"/>
    <w:lvl w:ilvl="0" w:tplc="5E58CE70">
      <w:start w:val="1"/>
      <w:numFmt w:val="bullet"/>
      <w:lvlText w:val="●"/>
      <w:lvlJc w:val="left"/>
      <w:pPr>
        <w:ind w:left="720" w:hanging="360"/>
      </w:pPr>
    </w:lvl>
    <w:lvl w:ilvl="1" w:tplc="17686306">
      <w:start w:val="1"/>
      <w:numFmt w:val="bullet"/>
      <w:lvlText w:val="○"/>
      <w:lvlJc w:val="left"/>
      <w:pPr>
        <w:ind w:left="1440" w:hanging="360"/>
      </w:pPr>
    </w:lvl>
    <w:lvl w:ilvl="2" w:tplc="78C24988">
      <w:start w:val="1"/>
      <w:numFmt w:val="bullet"/>
      <w:lvlText w:val="■"/>
      <w:lvlJc w:val="left"/>
      <w:pPr>
        <w:ind w:left="2160" w:hanging="360"/>
      </w:pPr>
    </w:lvl>
    <w:lvl w:ilvl="3" w:tplc="5030BED0">
      <w:start w:val="1"/>
      <w:numFmt w:val="bullet"/>
      <w:lvlText w:val="●"/>
      <w:lvlJc w:val="left"/>
      <w:pPr>
        <w:ind w:left="2880" w:hanging="360"/>
      </w:pPr>
    </w:lvl>
    <w:lvl w:ilvl="4" w:tplc="E8303334">
      <w:start w:val="1"/>
      <w:numFmt w:val="bullet"/>
      <w:lvlText w:val="○"/>
      <w:lvlJc w:val="left"/>
      <w:pPr>
        <w:ind w:left="3600" w:hanging="360"/>
      </w:pPr>
    </w:lvl>
    <w:lvl w:ilvl="5" w:tplc="E2488458">
      <w:start w:val="1"/>
      <w:numFmt w:val="bullet"/>
      <w:lvlText w:val="■"/>
      <w:lvlJc w:val="left"/>
      <w:pPr>
        <w:ind w:left="4320" w:hanging="360"/>
      </w:pPr>
    </w:lvl>
    <w:lvl w:ilvl="6" w:tplc="C55A932A">
      <w:start w:val="1"/>
      <w:numFmt w:val="bullet"/>
      <w:lvlText w:val="●"/>
      <w:lvlJc w:val="left"/>
      <w:pPr>
        <w:ind w:left="5040" w:hanging="360"/>
      </w:pPr>
    </w:lvl>
    <w:lvl w:ilvl="7" w:tplc="5856778E">
      <w:start w:val="1"/>
      <w:numFmt w:val="bullet"/>
      <w:lvlText w:val="●"/>
      <w:lvlJc w:val="left"/>
      <w:pPr>
        <w:ind w:left="5760" w:hanging="360"/>
      </w:pPr>
    </w:lvl>
    <w:lvl w:ilvl="8" w:tplc="21FE63C4">
      <w:start w:val="1"/>
      <w:numFmt w:val="bullet"/>
      <w:lvlText w:val="●"/>
      <w:lvlJc w:val="left"/>
      <w:pPr>
        <w:ind w:left="6480" w:hanging="360"/>
      </w:pPr>
    </w:lvl>
  </w:abstractNum>
  <w:abstractNum w:abstractNumId="1" w15:restartNumberingAfterBreak="0">
    <w:nsid w:val="7C761281"/>
    <w:multiLevelType w:val="hybridMultilevel"/>
    <w:tmpl w:val="005C3A88"/>
    <w:lvl w:ilvl="0" w:tplc="BFAC9CB2">
      <w:start w:val="1"/>
      <w:numFmt w:val="bullet"/>
      <w:lvlText w:val="•"/>
      <w:lvlJc w:val="left"/>
      <w:pPr>
        <w:ind w:left="460" w:hanging="260"/>
      </w:pPr>
    </w:lvl>
    <w:lvl w:ilvl="1" w:tplc="D3783548">
      <w:numFmt w:val="decimal"/>
      <w:lvlText w:val=""/>
      <w:lvlJc w:val="left"/>
    </w:lvl>
    <w:lvl w:ilvl="2" w:tplc="97BA6572">
      <w:numFmt w:val="decimal"/>
      <w:lvlText w:val=""/>
      <w:lvlJc w:val="left"/>
    </w:lvl>
    <w:lvl w:ilvl="3" w:tplc="1CB83330">
      <w:numFmt w:val="decimal"/>
      <w:lvlText w:val=""/>
      <w:lvlJc w:val="left"/>
    </w:lvl>
    <w:lvl w:ilvl="4" w:tplc="47864DE4">
      <w:numFmt w:val="decimal"/>
      <w:lvlText w:val=""/>
      <w:lvlJc w:val="left"/>
    </w:lvl>
    <w:lvl w:ilvl="5" w:tplc="815A0312">
      <w:numFmt w:val="decimal"/>
      <w:lvlText w:val=""/>
      <w:lvlJc w:val="left"/>
    </w:lvl>
    <w:lvl w:ilvl="6" w:tplc="314CB804">
      <w:numFmt w:val="decimal"/>
      <w:lvlText w:val=""/>
      <w:lvlJc w:val="left"/>
    </w:lvl>
    <w:lvl w:ilvl="7" w:tplc="FC840B92">
      <w:numFmt w:val="decimal"/>
      <w:lvlText w:val=""/>
      <w:lvlJc w:val="left"/>
    </w:lvl>
    <w:lvl w:ilvl="8" w:tplc="2E24A942">
      <w:numFmt w:val="decimal"/>
      <w:lvlText w:val=""/>
      <w:lvlJc w:val="left"/>
    </w:lvl>
  </w:abstractNum>
  <w:num w:numId="1" w16cid:durableId="1543595106">
    <w:abstractNumId w:val="0"/>
    <w:lvlOverride w:ilvl="0">
      <w:startOverride w:val="1"/>
    </w:lvlOverride>
  </w:num>
  <w:num w:numId="2" w16cid:durableId="9837060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143"/>
    <w:rsid w:val="009D7EFB"/>
    <w:rsid w:val="00DF16C2"/>
    <w:rsid w:val="00E621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5B6C6"/>
  <w15:docId w15:val="{EF6B0EBB-AA0C-4F94-BF38-7E26B5252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sz w:val="30"/>
      <w:szCs w:val="30"/>
    </w:rPr>
  </w:style>
  <w:style w:type="paragraph" w:styleId="Ttulo2">
    <w:name w:val="heading 2"/>
    <w:uiPriority w:val="9"/>
    <w:unhideWhenUsed/>
    <w:qFormat/>
    <w:pPr>
      <w:spacing w:before="260" w:after="120"/>
      <w:outlineLvl w:val="1"/>
    </w:pPr>
    <w:rPr>
      <w:b/>
      <w:bCs/>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120"/>
    </w:pPr>
    <w:rPr>
      <w:b/>
      <w:bCs/>
      <w:sz w:val="40"/>
      <w:szCs w:val="40"/>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1819</Words>
  <Characters>10005</Characters>
  <Application>Microsoft Office Word</Application>
  <DocSecurity>0</DocSecurity>
  <Lines>83</Lines>
  <Paragraphs>23</Paragraphs>
  <ScaleCrop>false</ScaleCrop>
  <Company/>
  <LinksUpToDate>false</LinksUpToDate>
  <CharactersWithSpaces>11801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mariano soto</cp:lastModifiedBy>
  <cp:revision>2</cp:revision>
  <dcterms:created xsi:type="dcterms:W3CDTF">2026-08-09T05:07:00Z</dcterms:created>
  <dcterms:modified xsi:type="dcterms:W3CDTF">2026-08-09T05:07:00Z</dcterms:modified>
</cp:coreProperties>
</file>