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lang w:eastAsia="zh-CN" w:bidi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/>
      <w:bookmarkStart w:id="0" w:name="_GoBack"/>
      <w:r/>
      <w:bookmarkEnd w:id="0"/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lang w:eastAsia="zh-CN" w:bidi="ru-RU"/>
        </w:rPr>
        <w:t xml:space="preserve">Сведения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lang w:eastAsia="zh-CN" w:bidi="ru-RU"/>
        </w:rPr>
      </w:r>
    </w:p>
    <w:p>
      <w:pPr>
        <w:jc w:val="center"/>
        <w:spacing w:after="0" w:line="240" w:lineRule="auto"/>
        <w:shd w:val="clear" w:color="auto" w:fill="ffffff"/>
        <w:rPr>
          <w:rFonts w:ascii="PT Astra Serif" w:hAnsi="PT Astra Serif" w:eastAsia="Times New Roman" w:cs="PT Astra Serif"/>
          <w:b/>
          <w:bCs/>
          <w:color w:val="000000"/>
          <w:sz w:val="28"/>
          <w:szCs w:val="28"/>
          <w:highlight w:val="white"/>
          <w:lang w:eastAsia="zh-CN" w:bidi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lang w:eastAsia="zh-CN" w:bidi="ru-RU"/>
        </w:rPr>
        <w:t xml:space="preserve">о выявленных фактах недостоверности сведений, представленных кандидатами в депутаты Государственной Думы Федерального Собрания Российской Федерации девятого созыва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lang w:eastAsia="zh-CN" w:bidi="ru-RU"/>
        </w:rPr>
        <w:t xml:space="preserve"> 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по 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одномандатному избирательному округу «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Кемеровск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ая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 област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ь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 – Кузбасс Новокузнецк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ий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 одномандатн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ый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lang w:eastAsia="zh-CN" w:bidi="ru-RU"/>
        </w:rPr>
        <w:t xml:space="preserve"> 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избирательн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ый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 округ № 105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u w:val="single"/>
          <w:lang w:eastAsia="zh-CN" w:bidi="ru-RU"/>
        </w:rPr>
        <w:t xml:space="preserve">»</w:t>
      </w:r>
      <w:r>
        <w:rPr>
          <w:rFonts w:ascii="PT Astra Serif" w:hAnsi="PT Astra Serif" w:eastAsia="PT Astra Serif" w:cs="PT Astra Serif"/>
          <w:b/>
          <w:bCs/>
          <w:color w:val="000000"/>
          <w:sz w:val="28"/>
          <w:szCs w:val="28"/>
          <w:highlight w:val="white"/>
          <w:lang w:eastAsia="zh-CN" w:bidi="ru-RU"/>
        </w:rPr>
        <w:t xml:space="preserve"> </w:t>
      </w:r>
      <w:r>
        <w:rPr>
          <w:rFonts w:ascii="PT Astra Serif" w:hAnsi="PT Astra Serif" w:eastAsia="Times New Roman" w:cs="PT Astra Serif"/>
          <w:b/>
          <w:bCs/>
          <w:color w:val="000000"/>
          <w:sz w:val="28"/>
          <w:szCs w:val="28"/>
          <w:highlight w:val="white"/>
          <w:lang w:eastAsia="zh-CN" w:bidi="ru-RU"/>
        </w:rPr>
      </w:r>
    </w:p>
    <w:p>
      <w:pPr>
        <w:ind w:left="1416" w:firstLine="708"/>
        <w:jc w:val="both"/>
        <w:spacing w:after="0" w:line="240" w:lineRule="auto"/>
        <w:shd w:val="clear" w:color="auto" w:fill="ffffff"/>
        <w:rPr>
          <w:rFonts w:ascii="PT Astra Serif" w:hAnsi="PT Astra Serif" w:eastAsia="Times New Roman" w:cs="PT Astra Serif"/>
          <w:color w:val="000000"/>
          <w:sz w:val="20"/>
          <w:szCs w:val="20"/>
          <w:highlight w:val="white"/>
          <w:lang w:eastAsia="zh-CN" w:bidi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PT Astra Serif" w:hAnsi="PT Astra Serif" w:eastAsia="PT Astra Serif" w:cs="PT Astra Serif"/>
          <w:color w:val="000000"/>
          <w:sz w:val="20"/>
          <w:szCs w:val="20"/>
          <w:highlight w:val="white"/>
          <w:lang w:eastAsia="zh-CN" w:bidi="ru-RU"/>
        </w:rPr>
        <w:t xml:space="preserve">(наименование и № одномандатного избирательного округа)</w:t>
      </w:r>
      <w:r>
        <w:rPr>
          <w:rFonts w:ascii="PT Astra Serif" w:hAnsi="PT Astra Serif" w:eastAsia="Times New Roman" w:cs="PT Astra Serif"/>
          <w:color w:val="000000"/>
          <w:sz w:val="20"/>
          <w:szCs w:val="20"/>
          <w:highlight w:val="white"/>
          <w:lang w:eastAsia="zh-CN" w:bidi="ru-RU"/>
        </w:rPr>
      </w:r>
    </w:p>
    <w:p>
      <w:pPr>
        <w:ind w:left="1416" w:firstLine="708"/>
        <w:jc w:val="both"/>
        <w:spacing w:after="0" w:line="240" w:lineRule="auto"/>
        <w:shd w:val="clear" w:color="auto" w:fill="ffffff"/>
        <w:rPr>
          <w:rFonts w:ascii="PT Astra Serif" w:hAnsi="PT Astra Serif" w:eastAsia="Times New Roman" w:cs="PT Astra Serif"/>
          <w:color w:val="000000"/>
          <w:sz w:val="20"/>
          <w:szCs w:val="20"/>
          <w:highlight w:val="white"/>
          <w:lang w:eastAsia="zh-CN" w:bidi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PT Astra Serif" w:hAnsi="PT Astra Serif" w:eastAsia="Times New Roman" w:cs="PT Astra Serif"/>
          <w:color w:val="000000"/>
          <w:sz w:val="20"/>
          <w:szCs w:val="20"/>
          <w:highlight w:val="white"/>
          <w:lang w:eastAsia="zh-CN" w:bidi="ru-RU"/>
        </w:rPr>
      </w:r>
      <w:r>
        <w:rPr>
          <w:rFonts w:ascii="PT Astra Serif" w:hAnsi="PT Astra Serif" w:eastAsia="Times New Roman" w:cs="PT Astra Serif"/>
          <w:color w:val="000000"/>
          <w:sz w:val="20"/>
          <w:szCs w:val="20"/>
          <w:highlight w:val="white"/>
          <w:lang w:eastAsia="zh-CN" w:bidi="ru-RU"/>
        </w:rPr>
      </w:r>
    </w:p>
    <w:tbl>
      <w:tblPr>
        <w:tblW w:w="1007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2426"/>
        <w:gridCol w:w="1494"/>
        <w:gridCol w:w="2385"/>
        <w:gridCol w:w="1386"/>
        <w:gridCol w:w="1782"/>
      </w:tblGrid>
      <w:tr>
        <w:tblPrEx/>
        <w:trPr>
          <w:cantSplit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№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п</w:t>
            </w: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/п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Фамилия, имя, отчество зарегистрированного кандидата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Субъект выдвижения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Представлено зарегистрированным</w:t>
            </w: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br/>
              <w:t xml:space="preserve">кандидатом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Результаты проверки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Организация, представившая сведения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</w:tr>
      <w:tr>
        <w:tblPrEx/>
        <w:trPr>
          <w:cantSplit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1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2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3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8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4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5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bCs/>
                <w:color w:val="000000"/>
                <w:highlight w:val="white"/>
                <w:lang w:eastAsia="zh-CN" w:bidi="ru-RU"/>
              </w:rPr>
              <w:t xml:space="preserve">6</w:t>
            </w:r>
            <w:r>
              <w:rPr>
                <w:rFonts w:ascii="PT Astra Serif" w:hAnsi="PT Astra Serif" w:eastAsia="Times New Roman" w:cs="PT Astra Serif"/>
                <w:b/>
                <w:bCs/>
                <w:color w:val="000000"/>
                <w:highlight w:val="white"/>
                <w:lang w:eastAsia="zh-CN" w:bidi="ru-RU"/>
              </w:rPr>
            </w:r>
          </w:p>
        </w:tc>
      </w:tr>
      <w:tr>
        <w:tblPrEx/>
        <w:trPr>
          <w:cantSplit/>
          <w:jc w:val="center"/>
        </w:trPr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77" w:type="dxa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b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PT Astra Serif" w:cs="PT Astra Serif"/>
                <w:b/>
                <w:highlight w:val="white"/>
                <w:lang w:eastAsia="zh-CN" w:bidi="ru-RU"/>
              </w:rPr>
              <w:t xml:space="preserve">Сведения о профессиональном образовании</w:t>
            </w:r>
            <w:r>
              <w:rPr>
                <w:rFonts w:ascii="PT Astra Serif" w:hAnsi="PT Astra Serif" w:eastAsia="Times New Roman" w:cs="PT Astra Serif"/>
                <w:b/>
                <w:color w:val="000000"/>
                <w:highlight w:val="white"/>
                <w:lang w:eastAsia="zh-CN" w:bidi="ru-RU"/>
              </w:rPr>
            </w:r>
          </w:p>
        </w:tc>
      </w:tr>
      <w:tr>
        <w:tblPrEx/>
        <w:trPr>
          <w:cantSplit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4" w:type="dxa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t xml:space="preserve">1</w:t>
            </w: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6" w:type="dxa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Times New Roman" w:cs="PT Astra Serif"/>
                <w:color w:val="000000"/>
                <w:lang w:eastAsia="zh-CN" w:bidi="ru-RU"/>
              </w:rPr>
              <w:t xml:space="preserve">Зайцева Ирина Александровна</w:t>
            </w: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4" w:type="dxa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Times New Roman" w:cs="PT Astra Serif"/>
                <w:color w:val="000000"/>
                <w:lang w:eastAsia="zh-CN" w:bidi="ru-RU"/>
              </w:rPr>
              <w:t xml:space="preserve">Социалистическая политическая партия СПРАВЕДЛИВАЯ РОССИЯ</w:t>
            </w: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85" w:type="dxa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color w:val="000000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Times New Roman" w:cs="PT Astra Serif"/>
                <w:color w:val="000000"/>
                <w:lang w:eastAsia="zh-CN" w:bidi="ru-RU"/>
              </w:rPr>
              <w:t xml:space="preserve">Иркутский политехнический институт, 1996 г., </w:t>
            </w:r>
            <w:r>
              <w:rPr>
                <w:rFonts w:ascii="PT Astra Serif" w:hAnsi="PT Astra Serif" w:eastAsia="Times New Roman" w:cs="PT Astra Serif"/>
                <w:color w:val="000000"/>
                <w:lang w:eastAsia="zh-CN" w:bidi="ru-RU"/>
              </w:rPr>
            </w:r>
          </w:p>
          <w:p>
            <w:pPr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Times New Roman" w:cs="PT Astra Serif"/>
                <w:color w:val="000000"/>
                <w:lang w:eastAsia="zh-CN" w:bidi="ru-RU"/>
              </w:rPr>
              <w:t xml:space="preserve">ХВ № 565172</w:t>
            </w: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6" w:type="dxa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t xml:space="preserve">Данные не подтверждены</w:t>
            </w: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2" w:type="dxa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t xml:space="preserve">СМЭВ,</w:t>
            </w: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</w:r>
          </w:p>
          <w:p>
            <w:pPr>
              <w:spacing w:after="0" w:line="240" w:lineRule="auto"/>
              <w:shd w:val="clear" w:color="auto" w:fill="ffffff"/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t xml:space="preserve">ФГБОУ </w:t>
            </w: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t xml:space="preserve">ВО</w:t>
            </w: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t xml:space="preserve"> «Иркутский национальный </w:t>
            </w:r>
            <w:r>
              <w:rPr>
                <w:rFonts w:ascii="PT Astra Serif" w:hAnsi="PT Astra Serif" w:eastAsia="Times New Roman" w:cs="PT Astra Serif"/>
                <w:color w:val="000000"/>
                <w:sz w:val="21"/>
                <w:szCs w:val="21"/>
                <w:highlight w:val="white"/>
                <w:lang w:eastAsia="zh-CN" w:bidi="ru-RU"/>
              </w:rPr>
              <w:t xml:space="preserve">исследовательский</w:t>
            </w: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  <w:t xml:space="preserve"> технический университет»</w:t>
            </w:r>
            <w:r>
              <w:rPr>
                <w:rFonts w:ascii="PT Astra Serif" w:hAnsi="PT Astra Serif" w:eastAsia="Times New Roman" w:cs="PT Astra Serif"/>
                <w:color w:val="000000"/>
                <w:highlight w:val="white"/>
                <w:lang w:eastAsia="zh-CN" w:bidi="ru-RU"/>
              </w:rPr>
            </w:r>
          </w:p>
        </w:tc>
      </w:tr>
    </w:tbl>
    <w:tbl>
      <w:tblPr>
        <w:tblW w:w="10062" w:type="dxa"/>
        <w:jc w:val="center"/>
        <w:tblInd w:w="5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79"/>
        <w:gridCol w:w="1445"/>
        <w:gridCol w:w="2382"/>
        <w:gridCol w:w="1417"/>
        <w:gridCol w:w="1773"/>
      </w:tblGrid>
      <w:tr>
        <w:tblPrEx/>
        <w:trPr>
          <w:cantSplit/>
          <w:jc w:val="center"/>
        </w:trPr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2" w:type="dxa"/>
            <w:textDirection w:val="lrTb"/>
            <w:noWrap w:val="false"/>
          </w:tcPr>
          <w:p>
            <w:pPr>
              <w:pStyle w:val="1_633"/>
              <w:ind w:right="0" w:firstLine="0"/>
              <w:jc w:val="left"/>
              <w:spacing w:line="240" w:lineRule="auto"/>
              <w:shd w:val="clear" w:color="auto" w:fill="ffffff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hAnsi="PT Astra Serif" w:eastAsia="PT Astra Serif" w:cs="PT Astra Serif"/>
                <w:color w:val="000000"/>
                <w:sz w:val="22"/>
                <w:szCs w:val="22"/>
                <w:highlight w:val="white"/>
              </w:rPr>
              <w:t xml:space="preserve">Акции, иные ценные бумаги и иное участие в коммерческих организациях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</w:p>
        </w:tc>
      </w:tr>
      <w:tr>
        <w:tblPrEx/>
        <w:trPr>
          <w:cantSplit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Style w:val="1_633"/>
              <w:ind w:right="0" w:firstLine="0"/>
              <w:jc w:val="left"/>
              <w:spacing w:line="240" w:lineRule="auto"/>
              <w:shd w:val="clear" w:color="auto" w:fill="ffffff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  <w:t xml:space="preserve">1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79" w:type="dxa"/>
            <w:textDirection w:val="lrTb"/>
            <w:noWrap w:val="false"/>
          </w:tcPr>
          <w:p>
            <w:pPr>
              <w:pStyle w:val="1_633"/>
              <w:ind w:right="0" w:firstLine="0"/>
              <w:jc w:val="left"/>
              <w:spacing w:line="240" w:lineRule="auto"/>
              <w:shd w:val="clear" w:color="auto" w:fill="ffffff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  <w:t xml:space="preserve">Зайцева Ирина Александровна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5" w:type="dxa"/>
            <w:textDirection w:val="lrTb"/>
            <w:noWrap w:val="false"/>
          </w:tcPr>
          <w:p>
            <w:pPr>
              <w:pStyle w:val="1_633"/>
              <w:ind w:right="0" w:firstLine="0"/>
              <w:jc w:val="left"/>
              <w:spacing w:line="240" w:lineRule="auto"/>
              <w:shd w:val="clear" w:color="auto" w:fill="ffffff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hint="eastAsia"/>
                <w:sz w:val="22"/>
                <w:szCs w:val="22"/>
              </w:rPr>
              <w:t xml:space="preserve">Социалистическая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политическая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партия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СПРАВЕДЛИВАЯ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РОССИЯ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82" w:type="dxa"/>
            <w:textDirection w:val="lrTb"/>
            <w:noWrap w:val="false"/>
          </w:tcPr>
          <w:p>
            <w:pPr>
              <w:pStyle w:val="1_633"/>
              <w:ind w:right="0" w:firstLine="0"/>
              <w:jc w:val="left"/>
              <w:spacing w:line="240" w:lineRule="auto"/>
              <w:shd w:val="clear" w:color="auto" w:fill="ffffff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  <w:t xml:space="preserve">Нет данных 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учас</w:t>
            </w:r>
            <w:r>
              <w:rPr>
                <w:rFonts w:ascii="Times New Roman" w:hAnsi="Times New Roman"/>
              </w:rPr>
              <w:t xml:space="preserve">тие в коммерческой организации: </w:t>
            </w:r>
            <w:r>
              <w:rPr>
                <w:rFonts w:ascii="Times New Roman" w:hAnsi="Times New Roman"/>
              </w:rPr>
              <w:t xml:space="preserve">ОБЩЕСТВО С ОГРАНИЧЕННОЙ ОТВЕТСТВЕННОСТЬЮ "ДОМ ПЛЮС", доля участия 100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>
            <w:pPr>
              <w:pStyle w:val="1_633"/>
              <w:ind w:right="0" w:firstLine="0"/>
              <w:jc w:val="left"/>
              <w:spacing w:line="240" w:lineRule="auto"/>
              <w:shd w:val="clear" w:color="auto" w:fill="ffffff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3" w:type="dxa"/>
            <w:textDirection w:val="lrTb"/>
            <w:noWrap w:val="false"/>
          </w:tcPr>
          <w:p>
            <w:pPr>
              <w:pStyle w:val="1_634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Управление Федеральной налоговой службы по Кемеровской области – Кузбассу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r/>
      <w:r/>
    </w:p>
    <w:sectPr>
      <w:footerReference w:type="default" r:id="rId8"/>
      <w:footerReference w:type="first" r:id="rId9"/>
      <w:footnotePr/>
      <w:endnotePr/>
      <w:type w:val="nextPage"/>
      <w:pgSz w:w="11906" w:h="16838" w:orient="portrait"/>
      <w:pgMar w:top="567" w:right="991" w:bottom="1134" w:left="993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T Astra Serif">
    <w:panose1 w:val="020A0603040505020204"/>
  </w:font>
  <w:font w:name="Arial">
    <w:panose1 w:val="020B0604020202020204"/>
  </w:font>
  <w:font w:name="Times New Roman">
    <w:panose1 w:val="02020603050405020304"/>
  </w:font>
  <w:font w:name="Tahoma">
    <w:panose1 w:val="020B0606040504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3"/>
      <w:rPr>
        <w:rFonts w:ascii="PT Astra Serif" w:hAnsi="PT Astra Serif" w:cs="PT Astra Serif"/>
        <w:sz w:val="16"/>
        <w:szCs w:val="16"/>
      </w:rPr>
    </w:pPr>
    <w:r>
      <w:rPr>
        <w:rFonts w:ascii="PT Astra Serif" w:hAnsi="PT Astra Serif" w:eastAsia="PT Astra Serif" w:cs="PT Astra Serif"/>
        <w:sz w:val="16"/>
        <w:szCs w:val="16"/>
      </w:rPr>
      <w:t xml:space="preserve">s0305011</w:t>
    </w:r>
    <w:r>
      <w:rPr>
        <w:rFonts w:ascii="PT Astra Serif" w:hAnsi="PT Astra Serif" w:cs="PT Astra Serif"/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3"/>
      <w:rPr>
        <w:rFonts w:ascii="PT Astra Serif" w:hAnsi="PT Astra Serif" w:cs="PT Astra Serif"/>
        <w:sz w:val="16"/>
        <w:szCs w:val="16"/>
      </w:rPr>
    </w:pPr>
    <w:r>
      <w:rPr>
        <w:rFonts w:ascii="PT Astra Serif" w:hAnsi="PT Astra Serif" w:eastAsia="PT Astra Serif" w:cs="PT Astra Serif"/>
        <w:sz w:val="16"/>
        <w:szCs w:val="16"/>
      </w:rPr>
      <w:t xml:space="preserve">s0305011</w:t>
    </w:r>
    <w:r>
      <w:rPr>
        <w:rFonts w:ascii="PT Astra Serif" w:hAnsi="PT Astra Serif" w:cs="PT Astra Serif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74"/>
    <w:next w:val="674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75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74"/>
    <w:next w:val="674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75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74"/>
    <w:next w:val="674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75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74"/>
    <w:next w:val="674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75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74"/>
    <w:next w:val="674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75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74"/>
    <w:next w:val="674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75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74"/>
    <w:next w:val="674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75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74"/>
    <w:next w:val="674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75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74"/>
    <w:next w:val="674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75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74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74"/>
    <w:next w:val="674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75"/>
    <w:link w:val="35"/>
    <w:uiPriority w:val="10"/>
    <w:rPr>
      <w:sz w:val="48"/>
      <w:szCs w:val="48"/>
    </w:rPr>
  </w:style>
  <w:style w:type="paragraph" w:styleId="37">
    <w:name w:val="Subtitle"/>
    <w:basedOn w:val="674"/>
    <w:next w:val="674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75"/>
    <w:link w:val="37"/>
    <w:uiPriority w:val="11"/>
    <w:rPr>
      <w:sz w:val="24"/>
      <w:szCs w:val="24"/>
    </w:rPr>
  </w:style>
  <w:style w:type="paragraph" w:styleId="39">
    <w:name w:val="Quote"/>
    <w:basedOn w:val="674"/>
    <w:next w:val="674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74"/>
    <w:next w:val="674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75"/>
    <w:link w:val="681"/>
    <w:uiPriority w:val="99"/>
  </w:style>
  <w:style w:type="character" w:styleId="46">
    <w:name w:val="Footer Char"/>
    <w:basedOn w:val="675"/>
    <w:link w:val="683"/>
    <w:uiPriority w:val="99"/>
  </w:style>
  <w:style w:type="paragraph" w:styleId="47">
    <w:name w:val="Caption"/>
    <w:basedOn w:val="674"/>
    <w:next w:val="674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75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7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7">
    <w:name w:val="Footnote Text Char"/>
    <w:link w:val="685"/>
    <w:uiPriority w:val="99"/>
    <w:rPr>
      <w:sz w:val="18"/>
    </w:rPr>
  </w:style>
  <w:style w:type="paragraph" w:styleId="179">
    <w:name w:val="endnote text"/>
    <w:basedOn w:val="67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75"/>
    <w:uiPriority w:val="99"/>
    <w:semiHidden/>
    <w:unhideWhenUsed/>
    <w:rPr>
      <w:vertAlign w:val="superscript"/>
    </w:rPr>
  </w:style>
  <w:style w:type="paragraph" w:styleId="182">
    <w:name w:val="toc 1"/>
    <w:basedOn w:val="674"/>
    <w:next w:val="674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74"/>
    <w:next w:val="674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74"/>
    <w:next w:val="674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74"/>
    <w:next w:val="674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74"/>
    <w:next w:val="674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74"/>
    <w:next w:val="67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74"/>
    <w:next w:val="67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74"/>
    <w:next w:val="67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74"/>
    <w:next w:val="674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74"/>
    <w:next w:val="674"/>
    <w:uiPriority w:val="99"/>
    <w:unhideWhenUsed/>
    <w:pPr>
      <w:spacing w:after="0" w:afterAutospacing="0"/>
    </w:pPr>
  </w:style>
  <w:style w:type="paragraph" w:styleId="674" w:default="1">
    <w:name w:val="Normal"/>
    <w:qFormat/>
  </w:style>
  <w:style w:type="character" w:styleId="675" w:default="1">
    <w:name w:val="Default Paragraph Font"/>
    <w:uiPriority w:val="1"/>
    <w:semiHidden/>
    <w:unhideWhenUsed/>
  </w:style>
  <w:style w:type="table" w:styleId="6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7" w:default="1">
    <w:name w:val="No List"/>
    <w:uiPriority w:val="99"/>
    <w:semiHidden/>
    <w:unhideWhenUsed/>
  </w:style>
  <w:style w:type="paragraph" w:styleId="678">
    <w:name w:val="Balloon Text"/>
    <w:basedOn w:val="674"/>
    <w:link w:val="67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79" w:customStyle="1">
    <w:name w:val="Текст выноски Знак"/>
    <w:basedOn w:val="675"/>
    <w:link w:val="678"/>
    <w:uiPriority w:val="99"/>
    <w:semiHidden/>
    <w:rPr>
      <w:rFonts w:ascii="Tahoma" w:hAnsi="Tahoma" w:cs="Tahoma"/>
      <w:sz w:val="16"/>
      <w:szCs w:val="16"/>
    </w:rPr>
  </w:style>
  <w:style w:type="character" w:styleId="680">
    <w:name w:val="Hyperlink"/>
    <w:basedOn w:val="675"/>
    <w:uiPriority w:val="99"/>
    <w:unhideWhenUsed/>
    <w:rPr>
      <w:color w:val="0000ff" w:themeColor="hyperlink"/>
      <w:u w:val="single"/>
    </w:rPr>
  </w:style>
  <w:style w:type="paragraph" w:styleId="681">
    <w:name w:val="Header"/>
    <w:basedOn w:val="674"/>
    <w:link w:val="68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82" w:customStyle="1">
    <w:name w:val="Верхний колонтитул Знак"/>
    <w:basedOn w:val="675"/>
    <w:link w:val="681"/>
    <w:uiPriority w:val="99"/>
  </w:style>
  <w:style w:type="paragraph" w:styleId="683">
    <w:name w:val="Footer"/>
    <w:basedOn w:val="674"/>
    <w:link w:val="68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84" w:customStyle="1">
    <w:name w:val="Нижний колонтитул Знак"/>
    <w:basedOn w:val="675"/>
    <w:link w:val="683"/>
    <w:uiPriority w:val="99"/>
  </w:style>
  <w:style w:type="paragraph" w:styleId="685">
    <w:name w:val="footnote text"/>
    <w:basedOn w:val="674"/>
    <w:link w:val="68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686" w:customStyle="1">
    <w:name w:val="Текст сноски Знак"/>
    <w:basedOn w:val="675"/>
    <w:link w:val="685"/>
    <w:uiPriority w:val="99"/>
    <w:semiHidden/>
    <w:rPr>
      <w:sz w:val="20"/>
      <w:szCs w:val="20"/>
    </w:rPr>
  </w:style>
  <w:style w:type="character" w:styleId="687">
    <w:name w:val="footnote reference"/>
    <w:uiPriority w:val="99"/>
    <w:unhideWhenUsed/>
    <w:rPr>
      <w:vertAlign w:val="superscript"/>
    </w:rPr>
  </w:style>
  <w:style w:type="paragraph" w:styleId="1_633" w:customStyle="1">
    <w:name w:val="Стиль 14 пт По ширине Справа:  007 см Междустр.интервал:  полут..."/>
    <w:pPr>
      <w:contextualSpacing w:val="0"/>
      <w:ind w:left="0" w:right="40" w:firstLine="567"/>
      <w:jc w:val="both"/>
      <w:keepLines w:val="0"/>
      <w:keepNext w:val="0"/>
      <w:pageBreakBefore w:val="0"/>
      <w:spacing w:before="0" w:beforeAutospacing="0" w:after="0" w:afterAutospacing="0" w:line="36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zh-CN" w:bidi="ru-RU"/>
      <w14:ligatures w14:val="none"/>
    </w:rPr>
  </w:style>
  <w:style w:type="paragraph" w:styleId="1_63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zh-CN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Pavkina</dc:creator>
  <cp:lastModifiedBy>a.n.knyazev</cp:lastModifiedBy>
  <cp:revision>6</cp:revision>
  <dcterms:created xsi:type="dcterms:W3CDTF">2026-07-24T07:04:00Z</dcterms:created>
  <dcterms:modified xsi:type="dcterms:W3CDTF">2026-08-04T03:42:31Z</dcterms:modified>
</cp:coreProperties>
</file>