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Бансимба</w:t>
      </w:r>
      <w:r>
        <w:t xml:space="preserve"> </w:t>
      </w:r>
      <w:r>
        <w:t xml:space="preserve">Клодели</w:t>
      </w:r>
      <w:r>
        <w:t xml:space="preserve"> </w:t>
      </w:r>
      <w:r>
        <w:t xml:space="preserve">Дьегра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использовать Hydra для нахождения паролей для авторизации.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Запустим DVWA.Перейдём в раздел DVWA Security и установим уровень защиты на</w:t>
      </w:r>
      <w:r>
        <w:t xml:space="preserve"> </w:t>
      </w:r>
      <w:r>
        <w:t xml:space="preserve">“</w:t>
      </w:r>
      <w:r>
        <w:t xml:space="preserve">Low</w:t>
      </w:r>
      <w:r>
        <w:t xml:space="preserve">”</w:t>
      </w:r>
      <w:r>
        <w:t xml:space="preserve">. (рис. 1)</w:t>
      </w:r>
    </w:p>
    <w:p>
      <w:pPr>
        <w:pStyle w:val="CaptionedFigure"/>
      </w:pPr>
      <w:r>
        <w:drawing>
          <wp:inline>
            <wp:extent cx="3733800" cy="2844946"/>
            <wp:effectExtent b="0" l="0" r="0" t="0"/>
            <wp:docPr descr="Изменение уровня защиты на “Low”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4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Изменение уровня защиты на</w:t>
      </w:r>
      <w:r>
        <w:t xml:space="preserve"> </w:t>
      </w:r>
      <w:r>
        <w:t xml:space="preserve">“</w:t>
      </w:r>
      <w:r>
        <w:t xml:space="preserve">Low</w:t>
      </w:r>
      <w:r>
        <w:t xml:space="preserve">”</w:t>
      </w:r>
    </w:p>
    <w:p>
      <w:pPr>
        <w:pStyle w:val="BodyText"/>
      </w:pPr>
      <w:r>
        <w:t xml:space="preserve">В настройках браузера меняем вручную настройки конфигурации, указываем IP (рис. 2)</w:t>
      </w:r>
    </w:p>
    <w:p>
      <w:pPr>
        <w:pStyle w:val="CaptionedFigure"/>
      </w:pPr>
      <w:r>
        <w:drawing>
          <wp:inline>
            <wp:extent cx="3733800" cy="2595615"/>
            <wp:effectExtent b="0" l="0" r="0" t="0"/>
            <wp:docPr descr="Изменение IP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5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IP</w:t>
      </w:r>
    </w:p>
    <w:p>
      <w:pPr>
        <w:pStyle w:val="BodyText"/>
      </w:pPr>
      <w:r>
        <w:t xml:space="preserve">Создадим файл passwords.txt, в котором укажем пароли для подстановки (рис. 3).</w:t>
      </w:r>
    </w:p>
    <w:p>
      <w:pPr>
        <w:pStyle w:val="CaptionedFigure"/>
      </w:pPr>
      <w:r>
        <w:drawing>
          <wp:inline>
            <wp:extent cx="3733800" cy="1550535"/>
            <wp:effectExtent b="0" l="0" r="0" t="0"/>
            <wp:docPr descr="Создание passwords.txt" title="" id="28" name="Picture"/>
            <a:graphic>
              <a:graphicData uri="http://schemas.openxmlformats.org/drawingml/2006/picture">
                <pic:pic>
                  <pic:nvPicPr>
                    <pic:cNvPr descr="image/3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0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passwords.txt</w:t>
      </w:r>
    </w:p>
    <w:p>
      <w:pPr>
        <w:pStyle w:val="BodyText"/>
      </w:pPr>
      <w:r>
        <w:t xml:space="preserve">Запишем варианты паролей в нём (рис. 4).</w:t>
      </w:r>
    </w:p>
    <w:p>
      <w:pPr>
        <w:pStyle w:val="CaptionedFigure"/>
      </w:pPr>
      <w:r>
        <w:drawing>
          <wp:inline>
            <wp:extent cx="3733800" cy="1433970"/>
            <wp:effectExtent b="0" l="0" r="0" t="0"/>
            <wp:docPr descr="Пароли для перебора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Пароли для перебора</w:t>
      </w:r>
    </w:p>
    <w:p>
      <w:pPr>
        <w:pStyle w:val="BodyText"/>
      </w:pPr>
      <w:r>
        <w:t xml:space="preserve">Откроем код веб-страницы и посмотрим метод отправки формы (рис. 5).</w:t>
      </w:r>
    </w:p>
    <w:p>
      <w:pPr>
        <w:pStyle w:val="CaptionedFigure"/>
      </w:pPr>
      <w:r>
        <w:drawing>
          <wp:inline>
            <wp:extent cx="3733800" cy="836937"/>
            <wp:effectExtent b="0" l="0" r="0" t="0"/>
            <wp:docPr descr="Метод отправки формы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6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Метод отправки формы</w:t>
      </w:r>
    </w:p>
    <w:p>
      <w:pPr>
        <w:pStyle w:val="BodyText"/>
      </w:pPr>
      <w:r>
        <w:t xml:space="preserve">Видим, что используется метод</w:t>
      </w:r>
      <w:r>
        <w:t xml:space="preserve"> </w:t>
      </w:r>
      <w:r>
        <w:t xml:space="preserve">“</w:t>
      </w:r>
      <w:r>
        <w:t xml:space="preserve">GET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Теперь откроем Инспектор, перейдём в раздел Storage и скопируем значение PHPSESSID (рис. 6)..</w:t>
      </w:r>
    </w:p>
    <w:p>
      <w:pPr>
        <w:pStyle w:val="CaptionedFigure"/>
      </w:pPr>
      <w:r>
        <w:drawing>
          <wp:inline>
            <wp:extent cx="3733800" cy="789954"/>
            <wp:effectExtent b="0" l="0" r="0" t="0"/>
            <wp:docPr descr="Значение PHPSESSID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9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Значение PHPSESSID</w:t>
      </w:r>
    </w:p>
    <w:p>
      <w:pPr>
        <w:pStyle w:val="BodyText"/>
      </w:pPr>
      <w:r>
        <w:t xml:space="preserve">Перейдём в консоль и воспользуемся Hydra – вставим полученное значение PHPSESSID в один из аргументов команды (рис. 7).</w:t>
      </w:r>
    </w:p>
    <w:p>
      <w:pPr>
        <w:pStyle w:val="CaptionedFigure"/>
      </w:pPr>
      <w:r>
        <w:drawing>
          <wp:inline>
            <wp:extent cx="3733800" cy="2428707"/>
            <wp:effectExtent b="0" l="0" r="0" t="0"/>
            <wp:docPr descr="Использование Hydra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8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Использование Hydra</w:t>
      </w:r>
    </w:p>
    <w:p>
      <w:pPr>
        <w:pStyle w:val="BodyText"/>
      </w:pPr>
      <w:r>
        <w:t xml:space="preserve">По выполнении команды мы видим подходящие значения для авторизации. Введём их и успешно авторизуемся (рис. 8).</w:t>
      </w:r>
    </w:p>
    <w:p>
      <w:pPr>
        <w:pStyle w:val="CaptionedFigure"/>
      </w:pPr>
      <w:r>
        <w:drawing>
          <wp:inline>
            <wp:extent cx="3733800" cy="2048232"/>
            <wp:effectExtent b="0" l="0" r="0" t="0"/>
            <wp:docPr descr="Успешная авторизация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8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Успешная авторизация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этапа проекта мы узнали как использовать hydra для подбора логина и пароля.</w:t>
      </w:r>
    </w:p>
    <w:bookmarkEnd w:id="46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1"/>
        </w:numPr>
      </w:pPr>
      <w:r>
        <w:t xml:space="preserve">Парасрам, Ш. Kali Linux: Тестирование на проникновение и безопасность : Для профессионалов. Kali Linux / Ш. Парасрам, А. Замм, Т. Хериянто, и др. – Санкт-Петербург : Питер, 2022. – 448 сс.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проекту. Этап 3</dc:title>
  <dc:creator>Бансимба Клодели Дьегра НПИбд-02-22</dc:creator>
  <dc:language>ru-RU</dc:language>
  <cp:keywords/>
  <dcterms:created xsi:type="dcterms:W3CDTF">2024-04-06T17:56:37Z</dcterms:created>
  <dcterms:modified xsi:type="dcterms:W3CDTF">2024-04-06T17:56:37Z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