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Бансимба Клодели Дьегра, 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lab_PT-07.pkt и сохраним под названием lab_PT-08.pkt. После чего откроем его для дальнейшего редактирования (рис. fig. 1).</w:t>
      </w:r>
    </w:p>
    <w:bookmarkStart w:id="24" w:name="fig:001"/>
    <w:p>
      <w:pPr>
        <w:pStyle w:val="CaptionedFigure"/>
      </w:pPr>
      <w:r>
        <w:drawing>
          <wp:inline>
            <wp:extent cx="3733800" cy="564099"/>
            <wp:effectExtent b="0" l="0" r="0" t="0"/>
            <wp:docPr descr="Рис. 1: Открытие проекта lab_PT-08.pkt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проекта lab_PT-08.pkt</w:t>
      </w:r>
    </w:p>
    <w:bookmarkEnd w:id="24"/>
    <w:p>
      <w:pPr>
        <w:pStyle w:val="BodyText"/>
      </w:pPr>
      <w:r>
        <w:t xml:space="preserve">В логическую рабочую область проекта добавим сервер dns и подключим его к коммутатору msk-donskaya-claudely-sw-3 через порт Fa0/2 (рис. fig. 2).</w:t>
      </w:r>
    </w:p>
    <w:bookmarkStart w:id="28" w:name="fig:002"/>
    <w:p>
      <w:pPr>
        <w:pStyle w:val="CaptionedFigure"/>
      </w:pPr>
      <w:r>
        <w:drawing>
          <wp:inline>
            <wp:extent cx="3733800" cy="1885402"/>
            <wp:effectExtent b="0" l="0" r="0" t="0"/>
            <wp:docPr descr="Рис. 2: Добавление сервера dns в логическую рабочую область проекта и подключение его к коммутатору msk-donskaya-claudely-sw-3." title="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сервера dns в логическую рабочую область проекта и подключение его к коммутатору msk-donskaya-claudely-sw-3.</w:t>
      </w:r>
    </w:p>
    <w:bookmarkEnd w:id="28"/>
    <w:p>
      <w:pPr>
        <w:pStyle w:val="BodyText"/>
      </w:pPr>
      <w:r>
        <w:t xml:space="preserve">Далее активируем порт при помощи соответствующих команд на коммутаторе (рис. fig. 3).</w:t>
      </w:r>
    </w:p>
    <w:bookmarkStart w:id="32" w:name="fig:003"/>
    <w:p>
      <w:pPr>
        <w:pStyle w:val="CaptionedFigure"/>
      </w:pPr>
      <w:r>
        <w:drawing>
          <wp:inline>
            <wp:extent cx="3733800" cy="2202506"/>
            <wp:effectExtent b="0" l="0" r="0" t="0"/>
            <wp:docPr descr="Рис. 3: Активация порта на коммутаторе.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Активация порта на коммутаторе.</w:t>
      </w:r>
    </w:p>
    <w:bookmarkEnd w:id="32"/>
    <w:p>
      <w:pPr>
        <w:pStyle w:val="BodyText"/>
      </w:pPr>
      <w:r>
        <w:t xml:space="preserve">В конфигурации сервера укажем в качестве адреса шлюза 10.128.0.1, а в качестве адреса самого сервера — 10.128.0.5 с соответствующей маской 255.255.255.0</w:t>
      </w:r>
    </w:p>
    <w:bookmarkStart w:id="36" w:name="fig:004"/>
    <w:p>
      <w:pPr>
        <w:pStyle w:val="CaptionedFigure"/>
      </w:pPr>
      <w:r>
        <w:drawing>
          <wp:inline>
            <wp:extent cx="3733800" cy="2286781"/>
            <wp:effectExtent b="0" l="0" r="0" t="0"/>
            <wp:docPr descr="Рис. 4: Настройка конфигурации сервера (адрес шлюза - 10.128.0.1, адрес сервера — 10.128.0.5, маска 255.255.255.0)." title="" id="34" name="Picture"/>
            <a:graphic>
              <a:graphicData uri="http://schemas.openxmlformats.org/drawingml/2006/picture">
                <pic:pic>
                  <pic:nvPicPr>
                    <pic:cNvPr descr="image/1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конфигурации сервера (адрес шлюза - 10.128.0.1, адрес сервера — 10.128.0.5, маска 255.255.255.0).</w:t>
      </w:r>
    </w:p>
    <w:bookmarkEnd w:id="36"/>
    <w:p>
      <w:pPr>
        <w:pStyle w:val="BodyText"/>
      </w:pPr>
      <w:r>
        <w:t xml:space="preserve">Далее настроим сервис DNS (Рис. 1.5):</w:t>
      </w:r>
      <w:r>
        <w:t xml:space="preserve"> </w:t>
      </w:r>
      <w:r>
        <w:t xml:space="preserve">• в конфигурации сервера выберем службу DNS, активируем её (выбрав флаг On);</w:t>
      </w:r>
      <w:r>
        <w:t xml:space="preserve"> </w:t>
      </w:r>
      <w:r>
        <w:t xml:space="preserve">• в поле Type в качестве типа записи DNS выберем записи типа A (A Record);</w:t>
      </w:r>
      <w:r>
        <w:t xml:space="preserve"> </w:t>
      </w:r>
      <w:r>
        <w:t xml:space="preserve">• в поле Name укажием доменное имя, по которому можно обратиться (к web-серверу — www.donskaya.rudn.ru), затем укажем его IP-адрес в соответствующем поле (10.128.0.2);</w:t>
      </w:r>
      <w:r>
        <w:t xml:space="preserve"> </w:t>
      </w:r>
      <w:r>
        <w:t xml:space="preserve">• нажав на кнопку Add, добавим DNS-запись на сервер;</w:t>
      </w:r>
      <w:r>
        <w:t xml:space="preserve"> </w:t>
      </w:r>
      <w:r>
        <w:t xml:space="preserve">• аналогичным образом добавим DNS-записи для серверов mail, file, dns;</w:t>
      </w:r>
      <w:r>
        <w:t xml:space="preserve"> </w:t>
      </w:r>
      <w:r>
        <w:t xml:space="preserve">• сохраним конфигурацию сервера.</w:t>
      </w:r>
    </w:p>
    <w:bookmarkStart w:id="40" w:name="fig:005"/>
    <w:p>
      <w:pPr>
        <w:pStyle w:val="CaptionedFigure"/>
      </w:pPr>
      <w:r>
        <w:drawing>
          <wp:inline>
            <wp:extent cx="3733800" cy="2175158"/>
            <wp:effectExtent b="0" l="0" r="0" t="0"/>
            <wp:docPr descr="Рис. 5: Настройка сервиса DNS (активация службы DNS, выбор типа записи A Record, указание доменного имени и IP-адреса, добавление записи на сервер)." title="" id="38" name="Picture"/>
            <a:graphic>
              <a:graphicData uri="http://schemas.openxmlformats.org/drawingml/2006/picture">
                <pic:pic>
                  <pic:nvPicPr>
                    <pic:cNvPr descr="image/1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сервиса DNS (активация службы DNS, выбор типа записи A Record, указание доменного имени и IP-адреса, добавление записи на сервер).</w:t>
      </w:r>
    </w:p>
    <w:bookmarkEnd w:id="40"/>
    <w:p>
      <w:pPr>
        <w:pStyle w:val="BodyText"/>
      </w:pPr>
      <w:r>
        <w:t xml:space="preserve">Настроим DHCP-сервис на маршрутизаторе, используя команды из лабораторной работы для каждой выделенной сети:</w:t>
      </w:r>
      <w:r>
        <w:t xml:space="preserve"> </w:t>
      </w:r>
      <w:r>
        <w:t xml:space="preserve">• укажем IP-адрес DNS-сервера;</w:t>
      </w:r>
      <w:r>
        <w:t xml:space="preserve"> </w:t>
      </w:r>
      <w:r>
        <w:t xml:space="preserve">• перейдём к настройке DHCP;</w:t>
      </w:r>
      <w:r>
        <w:t xml:space="preserve"> </w:t>
      </w:r>
      <w:r>
        <w:t xml:space="preserve">• зададим название конфигурируемому диапазону адресов (пулу адресов), укажем адрес сети, а также адреса шлюза и DNS-сервера;</w:t>
      </w:r>
      <w:r>
        <w:t xml:space="preserve"> </w:t>
      </w:r>
      <w:r>
        <w:t xml:space="preserve">• зададим пулы адресов, исключаемых из динамического распределения.</w:t>
      </w:r>
    </w:p>
    <w:bookmarkStart w:id="44" w:name="fig:006"/>
    <w:p>
      <w:pPr>
        <w:pStyle w:val="CaptionedFigure"/>
      </w:pPr>
      <w:r>
        <w:drawing>
          <wp:inline>
            <wp:extent cx="3733800" cy="4201832"/>
            <wp:effectExtent b="0" l="0" r="0" t="0"/>
            <wp:docPr descr="Рис. 6: Настройка DHCP-сервиса на маршрутизаторе (указание IP-адреса DNS-сервера и переход к настройке DHCP. Настройка названия конфигурируемому диапазону адресов, адресу шлюза и DNS-серверу. Настройка пула адресов, исключаемых из динамического распределения)." title="" id="42" name="Picture"/>
            <a:graphic>
              <a:graphicData uri="http://schemas.openxmlformats.org/drawingml/2006/picture">
                <pic:pic>
                  <pic:nvPicPr>
                    <pic:cNvPr descr="image/1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DHCP-сервиса на маршрутизаторе (указание IP-адреса DNS-сервера и переход к настройке DHCP. Настройка названия конфигурируемому диапазону адресов, адресу шлюза и DNS-серверу. Настройка пула адресов, исключаемых из динамического распределения).</w:t>
      </w:r>
    </w:p>
    <w:bookmarkEnd w:id="44"/>
    <w:p>
      <w:pPr>
        <w:pStyle w:val="BodyText"/>
      </w:pPr>
      <w:r>
        <w:t xml:space="preserve">На оконечных устройствах заменим в настройках статическое распределение адресов на динамическое</w:t>
      </w:r>
    </w:p>
    <w:bookmarkStart w:id="48" w:name="fig:007"/>
    <w:p>
      <w:pPr>
        <w:pStyle w:val="CaptionedFigure"/>
      </w:pPr>
      <w:r>
        <w:drawing>
          <wp:inline>
            <wp:extent cx="3733800" cy="2739028"/>
            <wp:effectExtent b="0" l="0" r="0" t="0"/>
            <wp:docPr descr="Рис. 7: Замена статического распределение адресов на динамическое на оконечных устройствах." title="" id="46" name="Picture"/>
            <a:graphic>
              <a:graphicData uri="http://schemas.openxmlformats.org/drawingml/2006/picture">
                <pic:pic>
                  <pic:nvPicPr>
                    <pic:cNvPr descr="image/1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статического распределение адресов на динамическое на оконечных устройствах.</w:t>
      </w:r>
    </w:p>
    <w:bookmarkEnd w:id="48"/>
    <w:p>
      <w:pPr>
        <w:pStyle w:val="BodyText"/>
      </w:pPr>
      <w:r>
        <w:t xml:space="preserve">Затем проверим, какие адреса выделяются оконечным устройствам</w:t>
      </w:r>
    </w:p>
    <w:bookmarkStart w:id="52" w:name="fig:008"/>
    <w:p>
      <w:pPr>
        <w:pStyle w:val="CaptionedFigure"/>
      </w:pPr>
      <w:r>
        <w:drawing>
          <wp:inline>
            <wp:extent cx="3733800" cy="2599701"/>
            <wp:effectExtent b="0" l="0" r="0" t="0"/>
            <wp:docPr descr="Рис. 8: Проверка выделения адресов оконечным устройствам." title="" id="50" name="Picture"/>
            <a:graphic>
              <a:graphicData uri="http://schemas.openxmlformats.org/drawingml/2006/picture">
                <pic:pic>
                  <pic:nvPicPr>
                    <pic:cNvPr descr="image/1.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выделения адресов оконечным устройствам.</w:t>
      </w:r>
    </w:p>
    <w:bookmarkEnd w:id="52"/>
    <w:p>
      <w:pPr>
        <w:pStyle w:val="BodyText"/>
      </w:pPr>
      <w:r>
        <w:t xml:space="preserve">В режиме симуляции изучим, каким образом происходит запрос адреса по протоколу DHCP</w:t>
      </w:r>
    </w:p>
    <w:bookmarkStart w:id="56" w:name="fig:009"/>
    <w:p>
      <w:pPr>
        <w:pStyle w:val="CaptionedFigure"/>
      </w:pPr>
      <w:r>
        <w:drawing>
          <wp:inline>
            <wp:extent cx="3733800" cy="1807826"/>
            <wp:effectExtent b="0" l="0" r="0" t="0"/>
            <wp:docPr descr="Рис. 9: Изучение запроса адреса по протоколу DHCP в режиме симуляции." title="" id="54" name="Picture"/>
            <a:graphic>
              <a:graphicData uri="http://schemas.openxmlformats.org/drawingml/2006/picture">
                <pic:pic>
                  <pic:nvPicPr>
                    <pic:cNvPr descr="image/1.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Изучение запроса адреса по протоколу DHCP в режиме симуляции.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t xml:space="preserve">За что отвечает протокол DHCP? - За автоматическое получение IP и других параметров.</w:t>
      </w:r>
    </w:p>
    <w:p>
      <w:pPr>
        <w:pStyle w:val="Compact"/>
        <w:numPr>
          <w:ilvl w:val="0"/>
          <w:numId w:val="1001"/>
        </w:numPr>
      </w:pPr>
      <w:r>
        <w:t xml:space="preserve">Какие типы DHCP-сообщений передаются по сети? –</w:t>
      </w:r>
      <w:r>
        <w:t xml:space="preserve"> </w:t>
      </w:r>
      <w:r>
        <w:t xml:space="preserve">• DHCPDISCOVER (клиент  сервер) — начальное сообщение.</w:t>
      </w:r>
      <w:r>
        <w:t xml:space="preserve"> </w:t>
      </w:r>
      <w:r>
        <w:t xml:space="preserve">• DHCPOFFER (сервер  клиент) — ответ на начальное сообщение с сетевыми настройками.</w:t>
      </w:r>
      <w:r>
        <w:t xml:space="preserve"> </w:t>
      </w:r>
      <w:r>
        <w:t xml:space="preserve">• DHCPREQUEST (клиент  сервер) — настройки приняты.</w:t>
      </w:r>
      <w:r>
        <w:t xml:space="preserve"> </w:t>
      </w:r>
      <w:r>
        <w:t xml:space="preserve">• DHCPACK (сервер  клиент) — авторизация клиента, настройки приняты.</w:t>
      </w:r>
      <w:r>
        <w:t xml:space="preserve"> </w:t>
      </w:r>
      <w:r>
        <w:t xml:space="preserve">• DHCPNAK (сервер  клиент) — авторизация невозможна.</w:t>
      </w:r>
      <w:r>
        <w:t xml:space="preserve"> </w:t>
      </w:r>
      <w:r>
        <w:t xml:space="preserve">• DHCPDECLINE (клиент  сервер) — IP уже используется.</w:t>
      </w:r>
      <w:r>
        <w:t xml:space="preserve"> </w:t>
      </w:r>
      <w:r>
        <w:t xml:space="preserve">• DHCPINFORM (клиент  сервер) — присвоен статический IP, а нужен динамический.</w:t>
      </w:r>
      <w:r>
        <w:t xml:space="preserve"> </w:t>
      </w:r>
      <w:r>
        <w:t xml:space="preserve">• DHCPRELEASE (клиент  сервер) — завершение использования IP.</w:t>
      </w:r>
    </w:p>
    <w:p>
      <w:pPr>
        <w:pStyle w:val="Compact"/>
        <w:numPr>
          <w:ilvl w:val="0"/>
          <w:numId w:val="1001"/>
        </w:numPr>
      </w:pPr>
      <w:r>
        <w:t xml:space="preserve">Какие параметры могут быть переданы в сообщениях DHCP? - По умолчанию запросы от клиента делаются к серверу на порт 67, сервер в свою очередь отвечает клиенту на порт 68, выдавая адрес IP и другую необходимую информацию, такую, как сетевую маску, маршрутизатор и серверы DNS.</w:t>
      </w:r>
    </w:p>
    <w:p>
      <w:pPr>
        <w:pStyle w:val="Compact"/>
        <w:numPr>
          <w:ilvl w:val="0"/>
          <w:numId w:val="1001"/>
        </w:numPr>
      </w:pPr>
      <w:r>
        <w:t xml:space="preserve">Что такое DNS? - Система, ставящая в соответствие доменному имени хоста IP и наоборот.</w:t>
      </w:r>
    </w:p>
    <w:p>
      <w:pPr>
        <w:pStyle w:val="Compact"/>
        <w:numPr>
          <w:ilvl w:val="0"/>
          <w:numId w:val="1001"/>
        </w:numPr>
      </w:pPr>
      <w:r>
        <w:t xml:space="preserve">Какие типы записи описания ресурсов есть в DNS и для чего они используются? –</w:t>
      </w:r>
      <w:r>
        <w:t xml:space="preserve"> </w:t>
      </w:r>
      <w:r>
        <w:t xml:space="preserve">• RR-записи описывают все узлы сети в зоне и помечают делегирование поддоменов.</w:t>
      </w:r>
      <w:r>
        <w:t xml:space="preserve"> </w:t>
      </w:r>
      <w:r>
        <w:t xml:space="preserve">• SOA-запись — указывает на авторитативность для зоны.</w:t>
      </w:r>
      <w:r>
        <w:t xml:space="preserve"> </w:t>
      </w:r>
      <w:r>
        <w:t xml:space="preserve">• NS-запись — перечисляет DNS-серверы зоны.</w:t>
      </w:r>
      <w:r>
        <w:t xml:space="preserve"> </w:t>
      </w:r>
      <w:r>
        <w:t xml:space="preserve">• А — задаёт отображение имени узла в IP.</w:t>
      </w:r>
      <w:r>
        <w:t xml:space="preserve"> </w:t>
      </w:r>
      <w:r>
        <w:t xml:space="preserve">• PTR — задаёт отображение IP в имя узла.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Бансимба Клодели Дьегра, НПИбд-02-22</dc:creator>
  <dc:language>ru-RU</dc:language>
  <cp:keywords/>
  <dcterms:created xsi:type="dcterms:W3CDTF">2025-04-11T13:44:56Z</dcterms:created>
  <dcterms:modified xsi:type="dcterms:W3CDTF">2025-04-11T13:44:56Z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Администрирование локальных сетей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