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Бансимба Клодели Дьегра, 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 организации к Интернету.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lab_PT-10.pkt и сохраним под названием lab_PT-11.pkt. После чего откроем его для дальнейшего редактирования (рис. fig. 1).</w:t>
      </w:r>
    </w:p>
    <w:bookmarkStart w:id="24" w:name="fig:001"/>
    <w:p>
      <w:pPr>
        <w:pStyle w:val="CaptionedFigure"/>
      </w:pPr>
      <w:r>
        <w:drawing>
          <wp:inline>
            <wp:extent cx="3733800" cy="654859"/>
            <wp:effectExtent b="0" l="0" r="0" t="0"/>
            <wp:docPr descr="Рис. 1: Открытие проекта lab_PT-10.pkt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проекта lab_PT-10.pkt</w:t>
      </w:r>
    </w:p>
    <w:bookmarkEnd w:id="24"/>
    <w:p>
      <w:pPr>
        <w:pStyle w:val="BodyText"/>
      </w:pPr>
      <w:r>
        <w:t xml:space="preserve">На схеме нашего проекта разместим согласно заданию лабораторной работы необходимое оборудование для сети провайдера и сети модельного Интернета (4 медиаконвертера (Repeater-PT), 2 коммутатора типа Cisco 2960-24TT, маршрутизатор типа Cisco 2811, 4 сервера). После чего присвоим названия размещённым в сети провайдера и в сети модельного Интернета объектам согласно правилам наименования</w:t>
      </w:r>
    </w:p>
    <w:bookmarkStart w:id="28" w:name="fig:002"/>
    <w:p>
      <w:pPr>
        <w:pStyle w:val="CaptionedFigure"/>
      </w:pPr>
      <w:r>
        <w:drawing>
          <wp:inline>
            <wp:extent cx="3733800" cy="3029825"/>
            <wp:effectExtent b="0" l="0" r="0" t="0"/>
            <wp:docPr descr="Рис. 2: Размещение согласно заданию лабораторной работы необходимого оборудования для сети провайдера и сети модельного Интернета (4 медиаконвертера (Repeater-PT), 2 коммутатора типа Cisco 2960-24TT, маршрутизатор типа Cisco 2811, 4 сервера). Присвоение названий размещённым в сети провайдера и в сети модельного Интернета объектам." title="" id="26" name="Picture"/>
            <a:graphic>
              <a:graphicData uri="http://schemas.openxmlformats.org/drawingml/2006/picture">
                <pic:pic>
                  <pic:nvPicPr>
                    <pic:cNvPr descr="image/1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Размещение согласно заданию лабораторной работы необходимого оборудования для сети провайдера и сети модельного Интернета (4 медиаконвертера (Repeater-PT), 2 коммутатора типа Cisco 2960-24TT, маршрутизатор типа Cisco 2811, 4 сервера). Присвоение названий размещённым в сети провайдера и в сети модельного Интернета объектам.</w:t>
      </w:r>
    </w:p>
    <w:bookmarkEnd w:id="28"/>
    <w:p>
      <w:pPr>
        <w:pStyle w:val="BodyText"/>
      </w:pPr>
      <w:r>
        <w:t xml:space="preserve">В физической рабочей области добавим здание провайдера и здание, имитирующее расположение серверов модельного Интернета. Присвоим им соответствующие названия</w:t>
      </w:r>
    </w:p>
    <w:bookmarkStart w:id="32" w:name="fig:003"/>
    <w:p>
      <w:pPr>
        <w:pStyle w:val="CaptionedFigure"/>
      </w:pPr>
      <w:r>
        <w:drawing>
          <wp:inline>
            <wp:extent cx="3733800" cy="2340907"/>
            <wp:effectExtent b="0" l="0" r="0" t="0"/>
            <wp:docPr descr="Рис. 3: Добавление в физической рабочей области здания провайдера и здания, имитирующего расположение серверов модельного Интернета. Присвоение им соответствующих названий." title="" id="30" name="Picture"/>
            <a:graphic>
              <a:graphicData uri="http://schemas.openxmlformats.org/drawingml/2006/picture">
                <pic:pic>
                  <pic:nvPicPr>
                    <pic:cNvPr descr="image/1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в физической рабочей области здания провайдера и здания, имитирующего расположение серверов модельного Интернета. Присвоение им соответствующих названий.</w:t>
      </w:r>
    </w:p>
    <w:bookmarkEnd w:id="32"/>
    <w:p>
      <w:pPr>
        <w:pStyle w:val="BodyText"/>
      </w:pPr>
      <w:r>
        <w:t xml:space="preserve">Перенесём из сети «Донская» оборудование провайдера и модельной сети Интернета в соответствующие здания</w:t>
      </w:r>
    </w:p>
    <w:bookmarkStart w:id="36" w:name="fig:004"/>
    <w:p>
      <w:pPr>
        <w:pStyle w:val="CaptionedFigure"/>
      </w:pPr>
      <w:r>
        <w:drawing>
          <wp:inline>
            <wp:extent cx="3733800" cy="1732813"/>
            <wp:effectExtent b="0" l="0" r="0" t="0"/>
            <wp:docPr descr="Рис. 4: Перенос оборудования из сети «Донская»." title="" id="34" name="Picture"/>
            <a:graphic>
              <a:graphicData uri="http://schemas.openxmlformats.org/drawingml/2006/picture">
                <pic:pic>
                  <pic:nvPicPr>
                    <pic:cNvPr descr="image/1.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Перенос оборудования из сети «Донская».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4409440"/>
            <wp:effectExtent b="0" l="0" r="0" t="0"/>
            <wp:docPr descr="Рис. 5: Размещение оборудования в здании “Provider”." title="" id="38" name="Picture"/>
            <a:graphic>
              <a:graphicData uri="http://schemas.openxmlformats.org/drawingml/2006/picture">
                <pic:pic>
                  <pic:nvPicPr>
                    <pic:cNvPr descr="image/1.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Размещение оборудования в здании</w:t>
      </w:r>
      <w:r>
        <w:t xml:space="preserve"> </w:t>
      </w:r>
      <w:r>
        <w:t xml:space="preserve">“Provider”</w:t>
      </w:r>
      <w:r>
        <w:t xml:space="preserve">.</w:t>
      </w:r>
    </w:p>
    <w:bookmarkEnd w:id="40"/>
    <w:bookmarkStart w:id="44" w:name="fig:006"/>
    <w:p>
      <w:pPr>
        <w:pStyle w:val="CaptionedFigure"/>
      </w:pPr>
      <w:r>
        <w:drawing>
          <wp:inline>
            <wp:extent cx="3733800" cy="2491923"/>
            <wp:effectExtent b="0" l="0" r="0" t="0"/>
            <wp:docPr descr="Рис. 6: Размещение оборудования в здании “Internet”." title="" id="42" name="Picture"/>
            <a:graphic>
              <a:graphicData uri="http://schemas.openxmlformats.org/drawingml/2006/picture">
                <pic:pic>
                  <pic:nvPicPr>
                    <pic:cNvPr descr="image/1.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Размещение оборудования в здании</w:t>
      </w:r>
      <w:r>
        <w:t xml:space="preserve"> </w:t>
      </w:r>
      <w:r>
        <w:t xml:space="preserve">“Internet”</w:t>
      </w:r>
      <w:r>
        <w:t xml:space="preserve">.</w:t>
      </w:r>
    </w:p>
    <w:bookmarkEnd w:id="44"/>
    <w:p>
      <w:pPr>
        <w:pStyle w:val="BodyText"/>
      </w:pPr>
      <w:r>
        <w:t xml:space="preserve">На медиаконвертерах заменим имеющиеся модули на PT-REPEATERNM-1FFE и PT-REPEATER-NM-1CFE для подключения витой пары по технологии Fast Ethernet и оптоволокна соответственно</w:t>
      </w:r>
    </w:p>
    <w:bookmarkStart w:id="48" w:name="fig:007"/>
    <w:p>
      <w:pPr>
        <w:pStyle w:val="CaptionedFigure"/>
      </w:pPr>
      <w:r>
        <w:drawing>
          <wp:inline>
            <wp:extent cx="3733800" cy="1682648"/>
            <wp:effectExtent b="0" l="0" r="0" t="0"/>
            <wp:docPr descr="Рис. 7: Замена на медиаконвертерах имеющихся модулей на PT-REPEATERNM-1FFE и PT-REPEATER-NM-1CFE для подключения витой пары по технологии Fast Ethernet и оптоволокна соответственно." title="" id="46" name="Picture"/>
            <a:graphic>
              <a:graphicData uri="http://schemas.openxmlformats.org/drawingml/2006/picture">
                <pic:pic>
                  <pic:nvPicPr>
                    <pic:cNvPr descr="image/1.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Замена на медиаконвертерах имеющихся модулей на PT-REPEATERNM-1FFE и PT-REPEATER-NM-1CFE для подключения витой пары по технологии Fast Ethernet и оптоволокна соответственно.</w:t>
      </w:r>
    </w:p>
    <w:bookmarkEnd w:id="48"/>
    <w:p>
      <w:pPr>
        <w:pStyle w:val="BodyText"/>
      </w:pPr>
      <w:r>
        <w:t xml:space="preserve">Пропишем IP-адреса серверам согласно таблице в лабораторной работе</w:t>
      </w:r>
    </w:p>
    <w:bookmarkStart w:id="52" w:name="fig:008"/>
    <w:p>
      <w:pPr>
        <w:pStyle w:val="CaptionedFigure"/>
      </w:pPr>
      <w:r>
        <w:drawing>
          <wp:inline>
            <wp:extent cx="3733800" cy="2447773"/>
            <wp:effectExtent b="0" l="0" r="0" t="0"/>
            <wp:docPr descr="Рис. 8: Присвоение IP-адресов серверам согласно таблице в лабораторной работе." title="" id="50" name="Picture"/>
            <a:graphic>
              <a:graphicData uri="http://schemas.openxmlformats.org/drawingml/2006/picture">
                <pic:pic>
                  <pic:nvPicPr>
                    <pic:cNvPr descr="image/1.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Присвоение IP-адресов серверам согласно таблице в лабораторной работе.</w:t>
      </w:r>
    </w:p>
    <w:bookmarkEnd w:id="52"/>
    <w:p>
      <w:pPr>
        <w:pStyle w:val="BodyText"/>
      </w:pPr>
      <w:r>
        <w:t xml:space="preserve">После чего пропишем сведения о серверах на DNS-сервере сети «Донская»</w:t>
      </w:r>
    </w:p>
    <w:bookmarkStart w:id="56" w:name="fig:009"/>
    <w:p>
      <w:pPr>
        <w:pStyle w:val="CaptionedFigure"/>
      </w:pPr>
      <w:r>
        <w:drawing>
          <wp:inline>
            <wp:extent cx="3733800" cy="3078645"/>
            <wp:effectExtent b="0" l="0" r="0" t="0"/>
            <wp:docPr descr="Рис. 9: Добавление сведений о серверах на DNS-сервере сети «Донская»." title="" id="54" name="Picture"/>
            <a:graphic>
              <a:graphicData uri="http://schemas.openxmlformats.org/drawingml/2006/picture">
                <pic:pic>
                  <pic:nvPicPr>
                    <pic:cNvPr descr="image/1.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сведений о серверах на DNS-сервере сети «Донская».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освоили настройку прав доступа пользователей к ресурсам сети.</w:t>
      </w:r>
    </w:p>
    <w:bookmarkEnd w:id="58"/>
    <w:bookmarkStart w:id="5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pStyle w:val="Compact"/>
        <w:numPr>
          <w:ilvl w:val="0"/>
          <w:numId w:val="1001"/>
        </w:numPr>
      </w:pPr>
      <w:r>
        <w:t xml:space="preserve">Что такое Network Address Translation (NAT)? - Network Address Translation (NAT) — механизм преобразования IP-адресов транзитных пакетов.</w:t>
      </w:r>
    </w:p>
    <w:p>
      <w:pPr>
        <w:pStyle w:val="Compact"/>
        <w:numPr>
          <w:ilvl w:val="0"/>
          <w:numId w:val="1001"/>
        </w:numPr>
      </w:pPr>
      <w:r>
        <w:t xml:space="preserve">Как определить, находится ли узел сети за NAT? –</w:t>
      </w:r>
      <w:r>
        <w:t xml:space="preserve"> </w:t>
      </w:r>
      <w:r>
        <w:t xml:space="preserve">• Просмотр сетевой конфигурации: если узел имеет локальный IP-адрес из диапазона 192.168.x.x, 10.x.x.x или 172.16.x.x, вероятно, он находится за NAT.</w:t>
      </w:r>
      <w:r>
        <w:t xml:space="preserve"> </w:t>
      </w:r>
      <w:r>
        <w:t xml:space="preserve">• Проверка маршрутизации: при использовании traceroute (tracert в Windows) можно увидеть IP-адреса маршрута. Если он проходит через общедоступные IP-адреса, узел, скорее всего, за NAT.</w:t>
      </w:r>
      <w:r>
        <w:t xml:space="preserve"> </w:t>
      </w:r>
      <w:r>
        <w:t xml:space="preserve">• Проверка портов: если администратор сети настроил порты NAT для перенаправления трафика на устройства внутри локальной сети, подключение к определенному порту на общедоступном IP-адресе может указывать на использование NAT.</w:t>
      </w:r>
      <w:r>
        <w:t xml:space="preserve"> </w:t>
      </w:r>
      <w:r>
        <w:t xml:space="preserve">• Использование онлайн-инструментов: некоторые онлайн-сервисы могут анализировать IP-адрес узла и определить, используется ли NAT.</w:t>
      </w:r>
    </w:p>
    <w:p>
      <w:pPr>
        <w:pStyle w:val="Compact"/>
        <w:numPr>
          <w:ilvl w:val="0"/>
          <w:numId w:val="1001"/>
        </w:numPr>
      </w:pPr>
      <w:r>
        <w:t xml:space="preserve">Какое оборудование отвечает за преобразование адреса методом NAT? - Оборудование, отвечающее за преобразование адресов методом NAT, включает в себя маршрутизаторы (роутеры), межсетевые экраны (firewalls) и прокси-серверы.</w:t>
      </w:r>
    </w:p>
    <w:p>
      <w:pPr>
        <w:pStyle w:val="Compact"/>
        <w:numPr>
          <w:ilvl w:val="0"/>
          <w:numId w:val="1001"/>
        </w:numPr>
      </w:pPr>
      <w:r>
        <w:t xml:space="preserve">В чём отличие статического, динамического и перегруженного NAT? –</w:t>
      </w:r>
      <w:r>
        <w:t xml:space="preserve"> </w:t>
      </w:r>
      <w:r>
        <w:t xml:space="preserve">• Статический NAT (SNAT): каждый локальный IP-адрес отображается на соответствующий общедоступный IP-адрес.</w:t>
      </w:r>
      <w:r>
        <w:t xml:space="preserve"> </w:t>
      </w:r>
      <w:r>
        <w:t xml:space="preserve">• Динамический NAT (DNAT): локальные IP-адреса отображаются на общедоступные IP-адреса из пула, с временным выделением адресов.</w:t>
      </w:r>
      <w:r>
        <w:t xml:space="preserve"> </w:t>
      </w:r>
      <w:r>
        <w:t xml:space="preserve">• NAT с перегрузкой (Overloaded NAT или PAT): в этом случае, помимо изменения IP-адресов, также происходит изменение портов, позволяя множеству устройств использовать один общедоступный IP-адрес.</w:t>
      </w:r>
    </w:p>
    <w:p>
      <w:pPr>
        <w:pStyle w:val="Compact"/>
        <w:numPr>
          <w:ilvl w:val="0"/>
          <w:numId w:val="1001"/>
        </w:numPr>
      </w:pPr>
      <w:r>
        <w:t xml:space="preserve">Охарактеризуйте типы NAT. –</w:t>
      </w:r>
      <w:r>
        <w:br/>
      </w:r>
      <w:r>
        <w:t xml:space="preserve">• Cтатический NAT (Static NAT, SNAT) — осуществляет преобразование адресов по принципу 1:1 (в частности, один локальный IP-адрес преобразуется во внешний адрес, выделенный, например, провайдером);</w:t>
      </w:r>
      <w:r>
        <w:t xml:space="preserve"> </w:t>
      </w:r>
      <w:r>
        <w:t xml:space="preserve">• Динамический NAT (Dynamic NAT, DNAT) — осуществляет преобразование адресов по принципу 1:N (например, один адрес устройства локальной сети преобразуется в один из адресов диапазона внешних адресов);</w:t>
      </w:r>
      <w:r>
        <w:t xml:space="preserve"> </w:t>
      </w:r>
      <w:r>
        <w:t xml:space="preserve">• NAT Overload (или NAT Masquerading, или Port Address Translation, PAT) — осуществляет преобразование адресов по принципу N:1 (например, адреса группы устройств локальной подсети преобразуются в один внешний адрес, при этом дополнительно используется механизм адресации через номера портов).</w:t>
      </w:r>
    </w:p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Бансимба Клодели Дьегра, НПИбд-02-22</dc:creator>
  <dc:language>ru-RU</dc:language>
  <cp:keywords/>
  <dcterms:created xsi:type="dcterms:W3CDTF">2025-09-03T18:21:06Z</dcterms:created>
  <dcterms:modified xsi:type="dcterms:W3CDTF">2025-09-03T18:21:06Z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">
    <vt:lpwstr>True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Администрирование локальных сетей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