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5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№15</w:t>
      </w:r>
    </w:p>
    <w:p>
      <w:pPr>
        <w:pStyle w:val="Subtitle"/>
      </w:pPr>
      <w:r>
        <w:t xml:space="preserve">Администрирование локальных сетей</w:t>
      </w:r>
    </w:p>
    <w:p>
      <w:pPr>
        <w:pStyle w:val="Author"/>
      </w:pPr>
      <w:r>
        <w:t xml:space="preserve">Бансимба Клодели Дьегра, 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Настроить динамическую маршрутизацию между территориями организации.</w:t>
      </w:r>
    </w:p>
    <w:bookmarkEnd w:id="20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Теперь откроем проект с названием lab_PT-14.pkt и сохраним под названием lab_PT-15.pkt. После чего откроем его для дальнейшего редактирования (рис. fig. 1).</w:t>
      </w:r>
    </w:p>
    <w:bookmarkStart w:id="24" w:name="fig:001"/>
    <w:p>
      <w:pPr>
        <w:pStyle w:val="CaptionedFigure"/>
      </w:pPr>
      <w:r>
        <w:drawing>
          <wp:inline>
            <wp:extent cx="3733800" cy="639023"/>
            <wp:effectExtent b="0" l="0" r="0" t="0"/>
            <wp:docPr descr="Рис. 1: Открытие проекта lab_PT-15.pkt.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9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Открытие проекта lab_PT-15.pkt.</w:t>
      </w:r>
    </w:p>
    <w:bookmarkEnd w:id="24"/>
    <w:p>
      <w:pPr>
        <w:pStyle w:val="BodyText"/>
      </w:pPr>
      <w:r>
        <w:t xml:space="preserve">Для начала настроим OSPF на маршрутизаторе msk-donskaya-claudely-gw-1. Включение OSPF на маршрутизаторе предполагает, во-первых, включение процесса OSPF командой router ospf, во-вторых — назначение областей (зон) интерфейсам с помощью команды network area.</w:t>
      </w:r>
      <w:r>
        <w:t xml:space="preserve"> </w:t>
      </w:r>
      <w:r>
        <w:t xml:space="preserve">Идентификатор процесса OSPF (process-id) по сути идентифицирует маршрутизатор в автономной системе, и, вообще говоря, он не должен совпадать с идентификаторами процессов на других маршрутизаторах.</w:t>
      </w:r>
      <w:r>
        <w:t xml:space="preserve"> </w:t>
      </w:r>
      <w:r>
        <w:t xml:space="preserve">Значение идентификатора области (area-id) может быть целым числом от 0 до 4294967295 или может быть представлено в виде IP-адреса: A.B.C.D. Область 0 называется магистралью, области с другими идентификаторами должны подключаться к магистрали.</w:t>
      </w:r>
    </w:p>
    <w:bookmarkStart w:id="28" w:name="fig:002"/>
    <w:p>
      <w:pPr>
        <w:pStyle w:val="CaptionedFigure"/>
      </w:pPr>
      <w:r>
        <w:drawing>
          <wp:inline>
            <wp:extent cx="3733800" cy="4071647"/>
            <wp:effectExtent b="0" l="0" r="0" t="0"/>
            <wp:docPr descr="Рис. 2: Настройка OSPF на маршрутизаторе msk-donskaya-claudely-gw-1 (включение процесса OSPF, назначение областей интерфейсам).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1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Настройка OSPF на маршрутизаторе msk-donskaya-claudely-gw-1 (включение процесса OSPF, назначение областей интерфейсам).</w:t>
      </w:r>
    </w:p>
    <w:bookmarkEnd w:id="28"/>
    <w:p>
      <w:pPr>
        <w:pStyle w:val="BodyText"/>
      </w:pPr>
      <w:r>
        <w:t xml:space="preserve">Проверим состояние протокола OSPF на маршрутизаторе msk-donskaya-claudely-gw-1. Маршрутизаторы с общим сегментом являются соседями в этом сегменте. Соседи выбираются с помощью протокола Hello. Команда show ip ospf neighbor показывает статус всех соседей в заданном сегменте. Команда show ip ospf route (или show ip route) выводит информацию из таблицы маршрутизации</w:t>
      </w:r>
    </w:p>
    <w:bookmarkStart w:id="32" w:name="fig:003"/>
    <w:p>
      <w:pPr>
        <w:pStyle w:val="CaptionedFigure"/>
      </w:pPr>
      <w:r>
        <w:drawing>
          <wp:inline>
            <wp:extent cx="3733800" cy="3577857"/>
            <wp:effectExtent b="0" l="0" r="0" t="0"/>
            <wp:docPr descr="Рис. 3: Проверка состояния протокола OSPF на маршрутизаторе msk-donskaya-claudely-gw-1 (просмотр статуса всех соседей в заданном сегменте, вывод информации из таблицы маршрутизации).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7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 состояния протокола OSPF на маршрутизаторе msk-donskaya-claudely-gw-1 (просмотр статуса всех соседей в заданном сегменте, вывод информации из таблицы маршрутизации).</w:t>
      </w:r>
    </w:p>
    <w:bookmarkEnd w:id="32"/>
    <w:p>
      <w:pPr>
        <w:pStyle w:val="BodyText"/>
      </w:pPr>
      <w:r>
        <w:t xml:space="preserve">Далее приступим к настройке: маршрутизатора msk-q42-claude-gw-1, маршрутизирующего коммутатора msk-hostel-claude-gw-1, маршрутизатора sch-sochi-claude-gw-1</w:t>
      </w:r>
    </w:p>
    <w:bookmarkStart w:id="36" w:name="fig:004"/>
    <w:p>
      <w:pPr>
        <w:pStyle w:val="CaptionedFigure"/>
      </w:pPr>
      <w:r>
        <w:drawing>
          <wp:inline>
            <wp:extent cx="3733800" cy="1188801"/>
            <wp:effectExtent b="0" l="0" r="0" t="0"/>
            <wp:docPr descr="Рис. 4: Настройка маршрутизатора msk-q42-claude-gw-1.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8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маршрутизатора msk-q42-claude-gw-1.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913768"/>
            <wp:effectExtent b="0" l="0" r="0" t="0"/>
            <wp:docPr descr="Рис. 5: Настройка маршрутизирующего коммутатора msk-hostel-claude-gw-1.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маршрутизирующего коммутатора msk-hostel-claude-gw-1.</w:t>
      </w:r>
    </w:p>
    <w:bookmarkEnd w:id="40"/>
    <w:bookmarkStart w:id="44" w:name="fig:006"/>
    <w:p>
      <w:pPr>
        <w:pStyle w:val="CaptionedFigure"/>
      </w:pPr>
      <w:r>
        <w:drawing>
          <wp:inline>
            <wp:extent cx="3733800" cy="985386"/>
            <wp:effectExtent b="0" l="0" r="0" t="0"/>
            <wp:docPr descr="Рис. 6: Настройка маршрутизатора sch-sochi-claude-gw-1.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5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маршрутизатора sch-sochi-claude-gw-1.</w:t>
      </w:r>
    </w:p>
    <w:bookmarkEnd w:id="44"/>
    <w:p>
      <w:pPr>
        <w:pStyle w:val="BodyText"/>
      </w:pPr>
      <w:r>
        <w:t xml:space="preserve">Следующим шагом настроим линк 42-й квартал–Сочи</w:t>
      </w:r>
    </w:p>
    <w:p>
      <w:pPr>
        <w:pStyle w:val="BodyText"/>
      </w:pPr>
      <w:r>
        <w:drawing>
          <wp:inline>
            <wp:extent cx="5334000" cy="1990117"/>
            <wp:effectExtent b="0" l="0" r="0" t="0"/>
            <wp:docPr descr="Настройка интерфейсов коммутатора provider-claude-sw-1." title="" id="46" name="Picture"/>
            <a:graphic>
              <a:graphicData uri="http://schemas.openxmlformats.org/drawingml/2006/picture">
                <pic:pic>
                  <pic:nvPicPr>
                    <pic:cNvPr descr="image/1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{#fig:007</w:t>
      </w:r>
    </w:p>
    <w:bookmarkStart w:id="51" w:name="fig:008"/>
    <w:p>
      <w:pPr>
        <w:pStyle w:val="CaptionedFigure"/>
      </w:pPr>
      <w:r>
        <w:drawing>
          <wp:inline>
            <wp:extent cx="3733800" cy="1102387"/>
            <wp:effectExtent b="0" l="0" r="0" t="0"/>
            <wp:docPr descr="Рис. 7: Настройка маршрутизатора msk-q42-claude-gw-1." title="" id="49" name="Picture"/>
            <a:graphic>
              <a:graphicData uri="http://schemas.openxmlformats.org/drawingml/2006/picture">
                <pic:pic>
                  <pic:nvPicPr>
                    <pic:cNvPr descr="image/1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маршрутизатора msk-q42-claude-gw-1.</w:t>
      </w:r>
    </w:p>
    <w:bookmarkEnd w:id="51"/>
    <w:bookmarkStart w:id="55" w:name="fig:009"/>
    <w:p>
      <w:pPr>
        <w:pStyle w:val="CaptionedFigure"/>
      </w:pPr>
      <w:r>
        <w:drawing>
          <wp:inline>
            <wp:extent cx="3733800" cy="1529133"/>
            <wp:effectExtent b="0" l="0" r="0" t="0"/>
            <wp:docPr descr="Рис. 8: Настройка коммутатора sch-sochi-claude-sw-1." title="" id="53" name="Picture"/>
            <a:graphic>
              <a:graphicData uri="http://schemas.openxmlformats.org/drawingml/2006/picture">
                <pic:pic>
                  <pic:nvPicPr>
                    <pic:cNvPr descr="image/1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9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Настройка коммутатора sch-sochi-claude-sw-1.</w:t>
      </w:r>
    </w:p>
    <w:bookmarkEnd w:id="55"/>
    <w:bookmarkStart w:id="59" w:name="fig:010"/>
    <w:p>
      <w:pPr>
        <w:pStyle w:val="CaptionedFigure"/>
      </w:pPr>
      <w:r>
        <w:drawing>
          <wp:inline>
            <wp:extent cx="3733800" cy="1223825"/>
            <wp:effectExtent b="0" l="0" r="0" t="0"/>
            <wp:docPr descr="Рис. 9: Настройка маршрутизатора sch-sochi-gw-1." title="" id="57" name="Picture"/>
            <a:graphic>
              <a:graphicData uri="http://schemas.openxmlformats.org/drawingml/2006/picture">
                <pic:pic>
                  <pic:nvPicPr>
                    <pic:cNvPr descr="image/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 маршрутизатора sch-sochi-gw-1.</w:t>
      </w:r>
    </w:p>
    <w:bookmarkEnd w:id="59"/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настроили динамическую маршрутизацию между территориями организации.</w:t>
      </w:r>
    </w:p>
    <w:bookmarkEnd w:id="61"/>
    <w:bookmarkStart w:id="62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вопросы:</w:t>
      </w:r>
    </w:p>
    <w:p>
      <w:pPr>
        <w:pStyle w:val="Compact"/>
        <w:numPr>
          <w:ilvl w:val="0"/>
          <w:numId w:val="1001"/>
        </w:numPr>
      </w:pPr>
      <w:r>
        <w:t xml:space="preserve">Какие протоколы относятся к протоколам динамической маршрутизации? - OSPF, RIP, EIGRP.</w:t>
      </w:r>
    </w:p>
    <w:p>
      <w:pPr>
        <w:pStyle w:val="Compact"/>
        <w:numPr>
          <w:ilvl w:val="0"/>
          <w:numId w:val="1001"/>
        </w:numPr>
      </w:pPr>
      <w:r>
        <w:t xml:space="preserve">Охарактеризуйте принципы работы протоколов динамической маршрутизации. - Маршрутизаторы по протоколу делятся между собой информацией из своих таблиц маршрутизации и корректируют их в соответствии с остальными.</w:t>
      </w:r>
    </w:p>
    <w:p>
      <w:pPr>
        <w:pStyle w:val="Compact"/>
        <w:numPr>
          <w:ilvl w:val="0"/>
          <w:numId w:val="1001"/>
        </w:numPr>
      </w:pPr>
      <w:r>
        <w:t xml:space="preserve">Опишите процесс обращения устройства из одной подсети к устройству из другой подсети по протоколу динамической маршрутизации. – Вектор-Расстояние — маршрутизатор рассылает список адресов со сборным параметром расстояния (кол-во маршрутизаторов, производительность и т. д.) из доступных сетей. Состояние канала — маршрутизаторы обмениваются топологической (связи маршрутизаторов) информацией.</w:t>
      </w:r>
    </w:p>
    <w:p>
      <w:pPr>
        <w:pStyle w:val="Compact"/>
        <w:numPr>
          <w:ilvl w:val="0"/>
          <w:numId w:val="1001"/>
        </w:numPr>
      </w:pPr>
      <w:r>
        <w:t xml:space="preserve">Опишите выводимую информацию при просмотре таблицы маршрутизации. - Протокол Тип маршрута Адрес удаленной сети [Административная дистанция источника/Метрика маршрута] Следующий маршрутизатор Время последнего обновления маршрута Интерфейс.</w:t>
      </w:r>
    </w:p>
    <w:bookmarkEnd w:id="6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№15</dc:title>
  <dc:creator>Бансимба Клодели Дьегра, НПИбд-02-22</dc:creator>
  <dc:language>ru-RU</dc:language>
  <cp:keywords/>
  <dcterms:created xsi:type="dcterms:W3CDTF">2025-09-08T03:51:49Z</dcterms:created>
  <dcterms:modified xsi:type="dcterms:W3CDTF">2025-09-08T03:51:49Z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BlockInlineMath">
    <vt:lpwstr>False</vt:lpwstr>
  </property>
  <property fmtid="{D5CDD505-2E9C-101B-9397-08002B2CF9AE}" pid="22" name="eqnBlockTemplate">
    <vt:lpwstr>ti</vt:lpwstr>
  </property>
  <property fmtid="{D5CDD505-2E9C-101B-9397-08002B2CF9AE}" pid="23" name="eqnDisplayTemplate">
    <vt:lpwstr>e</vt:lpwstr>
  </property>
  <property fmtid="{D5CDD505-2E9C-101B-9397-08002B2CF9AE}" pid="24" name="eqnIndexTemplate">
    <vt:lpwstr>(i)</vt:lpwstr>
  </property>
  <property fmtid="{D5CDD505-2E9C-101B-9397-08002B2CF9AE}" pid="25" name="eqnInlineTableTemplate">
    <vt:lpwstr>e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Рис.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lastDelim">
    <vt:lpwstr>, </vt:lpwstr>
  </property>
  <property fmtid="{D5CDD505-2E9C-101B-9397-08002B2CF9AE}" pid="39" name="linestretch">
    <vt:lpwstr>1.5</vt:lpwstr>
  </property>
  <property fmtid="{D5CDD505-2E9C-101B-9397-08002B2CF9AE}" pid="40" name="linkReferences">
    <vt:lpwstr>False</vt:lpwstr>
  </property>
  <property fmtid="{D5CDD505-2E9C-101B-9397-08002B2CF9AE}" pid="41" name="listItemTitleDelim">
    <vt:lpwstr>.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Листинг</vt:lpwstr>
  </property>
  <property fmtid="{D5CDD505-2E9C-101B-9397-08002B2CF9AE}" pid="44" name="listings">
    <vt:lpwstr>False</vt:lpwstr>
  </property>
  <property fmtid="{D5CDD505-2E9C-101B-9397-08002B2CF9AE}" pid="45" name="lof">
    <vt:lpwstr>True</vt:lpwstr>
  </property>
  <property fmtid="{D5CDD505-2E9C-101B-9397-08002B2CF9AE}" pid="46" name="lofItemTemplate">
    <vt:lpwstr>lofItemTitleilistItemTitleDelimt </vt:lpwstr>
  </property>
  <property fmtid="{D5CDD505-2E9C-101B-9397-08002B2CF9AE}" pid="47" name="lofItemTitle">
    <vt:lpwstr/>
  </property>
  <property fmtid="{D5CDD505-2E9C-101B-9397-08002B2CF9AE}" pid="48" name="lofTitle">
    <vt:lpwstr>Список иллюстраций</vt:lpwstr>
  </property>
  <property fmtid="{D5CDD505-2E9C-101B-9397-08002B2CF9AE}" pid="49" name="lolItemTemplate">
    <vt:lpwstr>lolItemTitleilistItemTitleDelimt </vt:lpwstr>
  </property>
  <property fmtid="{D5CDD505-2E9C-101B-9397-08002B2CF9AE}" pid="50" name="lolItemTitle">
    <vt:lpwstr/>
  </property>
  <property fmtid="{D5CDD505-2E9C-101B-9397-08002B2CF9AE}" pid="51" name="lolTitle">
    <vt:lpwstr>Листинги</vt:lpwstr>
  </property>
  <property fmtid="{D5CDD505-2E9C-101B-9397-08002B2CF9AE}" pid="52" name="lot">
    <vt:lpwstr>True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Список таблиц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Администрирование локальных сетей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