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/>
      </w:r>
    </w:p>
    <w:p>
      <w:pPr>
        <w:jc w:val="center"/>
      </w:pPr>
      <w:r>
        <w:rPr/>
        <w:drawing>
          <wp:inline distT="0" distB="0" distL="0" distR="0">
            <wp:extent cx="1428750" cy="14287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/>
        <w:t xml:space="preserve"/>
      </w:r>
    </w:p>
    <w:p>
      <w:pPr>
        <w:jc w:val="center"/>
      </w:pPr>
      <w:r>
        <w:rPr/>
        <w:drawing>
          <wp:inline distT="0" distB="0" distL="0" distR="0">
            <wp:extent cx="1428750" cy="14287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/>
        <w:t xml:space="preserve"/>
      </w:r>
      <w:bookmarkStart w:id="20" w:name="_GoBack"/>
      <w:bookmarkEnd w:id="20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Relationship Id="rId7" Type="http://schemas.openxmlformats.org/officeDocument/2006/relationships/image" Target="media/image_generated_2.png"/></Relationships>
</file>

<file path=word/_rels/header0.xml.rels><?xml version="1.0" encoding="UTF-8" standalone="yes"?><Relationships xmlns="http://schemas.openxmlformats.org/package/2006/relationships"/>
</file>