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E884" w14:textId="4D988534" w:rsidR="004B1BDE" w:rsidRDefault="0076544E">
      <w:r>
        <w:t xml:space="preserve">Uma coisa que só recentemente percebi acerca do design da visão é um compromisso relevante que se faz ao aumentar o campo de visão usando poucos olhos. A intensidade da radiação solar por área é de forma geral facilmente suportável pelos tecidos biológicos. Porém, o modelo de olho de câmara escura, especialmente com o uso de lentes convergentes, implica na concentração de uma grande quantidade de luz em uma região muito pequena de tecido. Enquanto o tecido da retina precisa continuar sensível a pequenas quantidades de luz durante a noite e reduzidas durante o dia, </w:t>
      </w:r>
      <w:r w:rsidR="00BF279C">
        <w:t xml:space="preserve">torna-se impossível a visão direta de uma fonte luminosa como o sol. </w:t>
      </w:r>
      <w:r>
        <w:t xml:space="preserve">  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5AA"/>
    <w:rsid w:val="004B1BDE"/>
    <w:rsid w:val="0076544E"/>
    <w:rsid w:val="00BF279C"/>
    <w:rsid w:val="00C2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9A5"/>
  <w15:chartTrackingRefBased/>
  <w15:docId w15:val="{926AEAB5-B1D1-4A43-8C6A-0D78E452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2022-08-29T03:13:00Z</dcterms:created>
  <dcterms:modified xsi:type="dcterms:W3CDTF">2022-08-29T03:20:00Z</dcterms:modified>
</cp:coreProperties>
</file>