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Relatorio cmlfdgw73000mbfm3ufnhgefn</w:t>
      </w:r>
    </w:p>
    <w:p>
      <w:r>
        <w:t>Periodo: 2025-01-01 a 2026-02-14</w:t>
      </w:r>
    </w:p>
    <w:p>
      <w:r>
        <w:t>Sumário Executivo</w:t>
      </w:r>
    </w:p>
    <w:p>
      <w:r>
        <w:t>Este relatório apresenta a análise executiva do projeto durante o período de 25/11/2025 a 23/02/2026, abrangendo 5 sprints e 663 itens de trabalho. O projeto demonstra progresso significativo com 58% dos itens concluídos (385 de 663), porém enfrenta desafios críticos na medição de performance. A análise revela forte compromisso com qualidade através de 164 test cases (25% do trabalho total) e taxa controlada de bugs em 3,2%. O principal risco identificado é a ausência completa de métricas de velocity e capacity utilization, comprometendo a previsibilidade e visibilidade do desempenho da equipe.</w:t>
      </w:r>
    </w:p>
    <w:sectPr>
      <w:pgSz w:w="12240" w:h="15840"/>
      <w:pgMar w:top="1440" w:right="1440" w:bottom="1440" w:left="1440"/>
    </w:sectPr>
  </w:body>
</w:document>
</file>