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Relatorio cmlfdgw73000mbfm3ufnhgefn</w:t>
      </w:r>
    </w:p>
    <w:p>
      <w:r>
        <w:t>Periodo: 2025-01-01 a 2026-02-14</w:t>
      </w:r>
    </w:p>
    <w:p>
      <w:r>
        <w:t>Sumário Executivo</w:t>
      </w:r>
    </w:p>
    <w:p>
      <w:r>
        <w:t>O presente relatório apresenta a análise executiva do projeto de desenvolvimento ágil executado entre novembro de 2025 e fevereiro de 2026, abrangendo 5 sprints com um volume total de 663 itens de trabalho. O projeto demonstra execução robusta com 58% de conclusão (385 itens finalizados), porém identifica lacunas críticas em métricas de produtividade e governança. A taxa de bugs de 3,2% mantém-se em parâmetros aceitáveis, mas a ausência de velocity e métricas de capacidade compromete a previsibilidade e gestão de riscos do projeto.</w:t>
      </w:r>
    </w:p>
    <w:sectPr>
      <w:pgSz w:w="12240" w:h="15840"/>
      <w:pgMar w:top="1440" w:right="1440" w:bottom="1440" w:left="1440"/>
    </w:sectPr>
  </w:body>
</w:document>
</file>