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Prompt para IA de Desenvolvimento — Ajustes de Landing Page, Kiwify e Carregamento MeuCorre</w:t>
      </w:r>
    </w:p>
    <w:p>
      <w:pPr>
        <w:pStyle w:val="Heading2"/>
        <w:pStyle w:val="MdHeading2"/>
      </w:pPr>
      <w:r>
        <w:t xml:space="preserve">Missão</w:t>
      </w:r>
    </w:p>
    <w:p>
      <w:pPr>
        <w:pStyle w:val="MdParagraph"/>
      </w:pPr>
      <w:r>
        <w:t xml:space="preserve">Analise o repositório completo do </w:t>
      </w:r>
      <w:r>
        <w:rPr>
          <w:rStyle w:val="MdStrong"/>
          <w:b/>
          <w:bCs/>
        </w:rPr>
        <w:t xml:space="preserve">MeuCorre</w:t>
      </w:r>
      <w:r>
        <w:t xml:space="preserve"> e implemente os ajustes abaixo na landing page e nas transições de carregamento. Preserve rigorosamente todas as funcionalidades atuais: PWA, autenticação, plano vitalício, pagamentos, referências de indicação, links externos, responsividade, acessibilidade, SEO, páginas existentes e fluxos administrativos. Não faça refatorações amplas ou alterações de arquitetura que não sejam indispensáveis.</w:t>
      </w:r>
    </w:p>
    <w:p>
      <w:pPr>
        <w:pStyle w:val="MdSpace"/>
        <w:spacing w:before="0" w:after="60"/>
      </w:pPr>
    </w:p>
    <w:p>
      <w:pPr>
        <w:pStyle w:val="MdBlockquote"/>
      </w:pPr>
      <w:r>
        <w:rPr>
          <w:rStyle w:val="MdStrong"/>
          <w:b/>
          <w:bCs/>
        </w:rPr>
        <w:t xml:space="preserve">Regra inegociável:</w:t>
      </w:r>
      <w:r>
        <w:t xml:space="preserve"> não avance para a próxima alteração enquanto a alteração atual não tiver sido implementada, testada, corrigida em caso de falha, retestada e validada pelo CLI. Não esconda erros, não ignore testes, não crie “sucesso verde” artificial e não altere produção, checkout, configurações de pagamento ou conteúdo externo sem aprovação explícita.</w:t>
      </w:r>
    </w:p>
    <w:p>
      <w:pPr>
        <w:pStyle w:val="MdSpace"/>
        <w:spacing w:before="0" w:after="60"/>
      </w:pPr>
    </w:p>
    <w:p>
      <w:pPr>
        <w:pStyle w:val="Heading2"/>
        <w:pStyle w:val="MdHeading2"/>
      </w:pPr>
      <w:r>
        <w:t xml:space="preserve">Contexto aprovado</w:t>
      </w:r>
    </w:p>
    <w:p>
      <w:pPr>
        <w:pStyle w:val="MdParagraph"/>
      </w:pPr>
      <w:r>
        <w:t xml:space="preserve">O plano vitalício de </w:t>
      </w:r>
      <w:r>
        <w:rPr>
          <w:rStyle w:val="MdStrong"/>
          <w:b/>
          <w:bCs/>
        </w:rPr>
        <w:t xml:space="preserve">R$ 18,90</w:t>
      </w:r>
      <w:r>
        <w:t xml:space="preserve"> continua vigente. Esse valor, seus textos comerciais e seus links precisam ser tratados como configuração única e verificável; não devem ser alterados por suposição. Antes de editar qualquer CTA de compra, descubra no código e nas configurações onde estão a URL oficial do checkout Kiwify, o identificador do plano e o valor exibido.</w:t>
      </w:r>
    </w:p>
    <w:p>
      <w:pPr>
        <w:pStyle w:val="MdSpace"/>
        <w:spacing w:before="0" w:after="60"/>
      </w:pPr>
    </w:p>
    <w:p>
      <w:pPr>
        <w:pStyle w:val="MdParagraph"/>
      </w:pPr>
      <w:r>
        <w:t xml:space="preserve">O CTA </w:t>
      </w:r>
      <w:r>
        <w:rPr>
          <w:rStyle w:val="MdStrong"/>
          <w:b/>
          <w:bCs/>
        </w:rPr>
        <w:t xml:space="preserve">“Baixar grátis”</w:t>
      </w:r>
      <w:r>
        <w:t xml:space="preserve"> possui um fluxo obrigatório e não comercial: ao ser clicado, ele deve direcionar o usuário para a experiência </w:t>
      </w:r>
      <w:r>
        <w:rPr>
          <w:rStyle w:val="MdStrong"/>
          <w:b/>
          <w:bCs/>
        </w:rPr>
        <w:t xml:space="preserve">“Descubra quanto você está perdendo”</w:t>
      </w:r>
      <w:r>
        <w:t xml:space="preserve">. Nessa experiência, o usuário deve responder o quiz; após concluir o quiz, deve seguir para a criação de conta; depois da criação/autenticação bem-sucedida, deve receber acesso à plataforma e ser levado ao destino interno apropriado. Esse CTA </w:t>
      </w:r>
      <w:r>
        <w:rPr>
          <w:rStyle w:val="MdStrong"/>
          <w:b/>
          <w:bCs/>
        </w:rPr>
        <w:t xml:space="preserve">nunca</w:t>
      </w:r>
      <w:r>
        <w:t xml:space="preserve"> deve apontar para Kiwify ou checkout. Antes de editar, localize a rota canônica já existente para o quiz e reutilize-a; não invente URLs, preços ou condições.</w:t>
      </w:r>
    </w:p>
    <w:p>
      <w:pPr>
        <w:pStyle w:val="MdSpace"/>
        <w:spacing w:before="0" w:after="60"/>
      </w:pPr>
    </w:p>
    <w:p>
      <w:pPr>
        <w:pStyle w:val="MdParagraph"/>
      </w:pPr>
      <w:r>
        <w:t xml:space="preserve">O fluxo deve preservar, quando existirem, parâmetros de origem, campanha, UTM e indicação desde o CTA inicial até a conta recém-criada. Caso o usuário já esteja autenticado, não force novo cadastro: leve-o ao resultado do quiz, ao painel ou à etapa equivalente definida pela regra existente, preservando o comportamento seguro do produto.</w:t>
      </w:r>
    </w:p>
    <w:p>
      <w:pPr>
        <w:pStyle w:val="MdSpace"/>
        <w:spacing w:before="0" w:after="60"/>
      </w:pPr>
    </w:p>
    <w:p>
      <w:pPr>
        <w:pStyle w:val="Heading2"/>
        <w:pStyle w:val="MdHeading2"/>
      </w:pPr>
      <w:r>
        <w:t xml:space="preserve">Resultados esperados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Área</w:t>
            </w:r>
          </w:p>
        </w:tc>
        <w:tc>
          <w:tcPr>
            <w:tcBorders>
              <w:right w:val="none"/>
            </w:tcBorders>
            <w:tcMar>
              <w:top w:type="dxa" w:w="100"/>
              <w:left w:type="dxa" w:w="120"/>
              <w:bottom w:type="dxa" w:w="100"/>
              <w:right w:type="dxa" w:w="120"/>
            </w:tcMar>
            <w:vAlign w:val="center"/>
          </w:tcPr>
          <w:p>
            <w:pPr>
              <w:pStyle w:val="MdTableHeader"/>
            </w:pPr>
            <w:r>
              <w:t xml:space="preserve">Resultado obrigatório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 gratuito</w:t>
            </w:r>
          </w:p>
        </w:tc>
        <w:tc>
          <w:tcPr>
            <w:tcBorders>
              <w:right w:val="none"/>
            </w:tcBorders>
            <w:tcMar>
              <w:top w:type="dxa" w:w="80"/>
              <w:left w:type="dxa" w:w="120"/>
              <w:bottom w:type="dxa" w:w="80"/>
              <w:right w:type="dxa" w:w="120"/>
            </w:tcMar>
            <w:vAlign w:val="center"/>
          </w:tcPr>
          <w:p>
            <w:pPr>
              <w:pStyle w:val="MdTableCell"/>
            </w:pPr>
            <w:r>
              <w:t xml:space="preserve">Corrigir e padronizar o botão </w:t>
            </w:r>
            <w:r>
              <w:rPr>
                <w:rStyle w:val="MdStrong"/>
                <w:b/>
                <w:bCs/>
              </w:rPr>
              <w:t xml:space="preserve">“Baixar grátis”</w:t>
            </w:r>
            <w:r>
              <w:t xml:space="preserve"> para o destino gratuito correto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CTAs de planos</w:t>
            </w:r>
          </w:p>
        </w:tc>
        <w:tc>
          <w:tcPr>
            <w:tcBorders>
              <w:right w:val="none"/>
            </w:tcBorders>
            <w:tcMar>
              <w:top w:type="dxa" w:w="80"/>
              <w:left w:type="dxa" w:w="120"/>
              <w:bottom w:type="dxa" w:w="80"/>
              <w:right w:type="dxa" w:w="120"/>
            </w:tcMar>
            <w:vAlign w:val="center"/>
          </w:tcPr>
          <w:p>
            <w:pPr>
              <w:pStyle w:val="MdTableCell"/>
            </w:pPr>
            <w:r>
              <w:t xml:space="preserve">Verificar todos os botões de plano/compra e garantir que cada um abre o checkout Kiwify correto, com a oferta e o valor corretos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Identidade dos botões</w:t>
            </w:r>
          </w:p>
        </w:tc>
        <w:tc>
          <w:tcPr>
            <w:tcBorders>
              <w:right w:val="none"/>
            </w:tcBorders>
            <w:tcMar>
              <w:top w:type="dxa" w:w="80"/>
              <w:left w:type="dxa" w:w="120"/>
              <w:bottom w:type="dxa" w:w="80"/>
              <w:right w:type="dxa" w:w="120"/>
            </w:tcMar>
            <w:vAlign w:val="center"/>
          </w:tcPr>
          <w:p>
            <w:pPr>
              <w:pStyle w:val="MdTableCell"/>
            </w:pPr>
            <w:r>
              <w:t xml:space="preserve">Redimensionar e padronizar os CTAs principais para preservar a identidade visual MeuCorre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Renomeação</w:t>
            </w:r>
          </w:p>
        </w:tc>
        <w:tc>
          <w:tcPr>
            <w:tcBorders>
              <w:right w:val="none"/>
            </w:tcBorders>
            <w:tcMar>
              <w:top w:type="dxa" w:w="80"/>
              <w:left w:type="dxa" w:w="120"/>
              <w:bottom w:type="dxa" w:w="80"/>
              <w:right w:type="dxa" w:w="120"/>
            </w:tcMar>
            <w:vAlign w:val="center"/>
          </w:tcPr>
          <w:p>
            <w:pPr>
              <w:pStyle w:val="MdTableCell"/>
            </w:pPr>
            <w:r>
              <w:t xml:space="preserve">Substituir o CTA </w:t>
            </w:r>
            <w:r>
              <w:rPr>
                <w:rStyle w:val="MdStrong"/>
                <w:b/>
                <w:bCs/>
              </w:rPr>
              <w:t xml:space="preserve">“Entrar”</w:t>
            </w:r>
            <w:r>
              <w:t xml:space="preserve"> por </w:t>
            </w:r>
            <w:r>
              <w:rPr>
                <w:rStyle w:val="MdStrong"/>
                <w:b/>
                <w:bCs/>
              </w:rPr>
              <w:t xml:space="preserve">“Já sou do Corre”</w:t>
            </w:r>
            <w:r>
              <w:t xml:space="preserve"> e o CTA </w:t>
            </w:r>
            <w:r>
              <w:rPr>
                <w:rStyle w:val="MdStrong"/>
                <w:b/>
                <w:bCs/>
              </w:rPr>
              <w:t xml:space="preserve">“Comprar”</w:t>
            </w:r>
            <w:r>
              <w:t xml:space="preserve"> por </w:t>
            </w:r>
            <w:r>
              <w:rPr>
                <w:rStyle w:val="MdStrong"/>
                <w:b/>
                <w:bCs/>
              </w:rPr>
              <w:t xml:space="preserve">“Oferta”</w:t>
            </w:r>
            <w:r>
              <w:t xml:space="preserve">, onde os rótulos representarem esses mesmos fluxos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Carregamento</w:t>
            </w:r>
          </w:p>
        </w:tc>
        <w:tc>
          <w:tcPr>
            <w:tcBorders>
              <w:right w:val="none"/>
            </w:tcBorders>
            <w:tcMar>
              <w:top w:type="dxa" w:w="80"/>
              <w:left w:type="dxa" w:w="120"/>
              <w:bottom w:type="dxa" w:w="80"/>
              <w:right w:type="dxa" w:w="120"/>
            </w:tcMar>
            <w:vAlign w:val="center"/>
          </w:tcPr>
          <w:p>
            <w:pPr>
              <w:pStyle w:val="MdTableCell"/>
            </w:pPr>
            <w:r>
              <w:t xml:space="preserve">Exibir a logo oficial do MeuCorre durante o carregamento inicial e durante navegação/mudança de página ou aba controlada pela aplicação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Qualidade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Preservar responsividade, acessibilidade, desempenho, rastreamento, links, SEO e todos os fluxos existentes</w:t>
            </w:r>
          </w:p>
        </w:tc>
      </w:tr>
    </w:tbl>
    <w:p>
      <w:pPr>
        <w:pStyle w:val="MdHr"/>
        <w:pBdr>
          <w:bottom w:val="single" w:color="auto" w:sz="6" w:space="1"/>
        </w:pBdr>
      </w:pPr>
    </w:p>
    <w:p>
      <w:pPr>
        <w:pStyle w:val="MdSpace"/>
        <w:spacing w:before="0" w:after="60"/>
      </w:pPr>
    </w:p>
    <w:p>
      <w:pPr>
        <w:pStyle w:val="Heading2"/>
        <w:pStyle w:val="MdHeading2"/>
      </w:pPr>
      <w:r>
        <w:t xml:space="preserve">Etapa 0 — Diagnóstico obrigatório antes de editar</w:t>
      </w:r>
    </w:p>
    <w:p>
      <w:pPr>
        <w:pStyle w:val="MdListItem"/>
        <w:numPr>
          <w:ilvl w:val="0"/>
          <w:numId w:val="2"/>
        </w:numPr>
      </w:pPr>
      <w:r>
        <w:t xml:space="preserve">Leia o </w:t>
      </w:r>
      <w:r>
        <w:rPr>
          <w:rStyle w:val="MdCode"/>
          <w:u w:val="single"/>
        </w:rPr>
        <w:t xml:space="preserve">README</w:t>
      </w:r>
      <w:r>
        <w:t xml:space="preserve">, </w:t>
      </w:r>
      <w:r>
        <w:rPr>
          <w:rStyle w:val="MdCode"/>
          <w:u w:val="single"/>
        </w:rPr>
        <w:t xml:space="preserve">package.json</w:t>
      </w:r>
      <w:r>
        <w:t xml:space="preserve">, lockfile, arquivos de rotas, componentes da landing page, componentes de CTA, configurações de pagamento, variáveis de ambiente e testes já existentes.</w:t>
      </w:r>
    </w:p>
    <w:p>
      <w:pPr>
        <w:pStyle w:val="MdListItem"/>
        <w:numPr>
          <w:ilvl w:val="0"/>
          <w:numId w:val="2"/>
        </w:numPr>
      </w:pPr>
      <w:r>
        <w:t xml:space="preserve">Descubra a tecnologia de navegação atual: React Router, Next.js, SPA, outro mecanismo ou combinação. Não presuma framework.</w:t>
      </w:r>
    </w:p>
    <w:p>
      <w:pPr>
        <w:pStyle w:val="MdListItem"/>
        <w:numPr>
          <w:ilvl w:val="0"/>
          <w:numId w:val="2"/>
        </w:numPr>
      </w:pPr>
      <w:r>
        <w:t xml:space="preserve">Faça uma tabela de inventário de todos os botões relevantes. Para cada botão, registre: página/componente, texto atual, destino atual, tipo de destino, evento de analytics existente, condição de exibição, rótulo de acessibilidade e comportamento em desktop/mobile.</w:t>
      </w:r>
    </w:p>
    <w:p>
      <w:pPr>
        <w:pStyle w:val="MdListItem"/>
        <w:numPr>
          <w:ilvl w:val="0"/>
          <w:numId w:val="2"/>
        </w:numPr>
      </w:pPr>
      <w:r>
        <w:t xml:space="preserve">Localize todas as referências a </w:t>
      </w:r>
      <w:r>
        <w:rPr>
          <w:rStyle w:val="MdCode"/>
          <w:u w:val="single"/>
        </w:rPr>
        <w:t xml:space="preserve">Kiwify</w:t>
      </w:r>
      <w:r>
        <w:t xml:space="preserve">, </w:t>
      </w:r>
      <w:r>
        <w:rPr>
          <w:rStyle w:val="MdCode"/>
          <w:u w:val="single"/>
        </w:rPr>
        <w:t xml:space="preserve">checkout</w:t>
      </w:r>
      <w:r>
        <w:t xml:space="preserve">, preços, plano vitalício, “Comprar”, “Entrar”, “Baixar” e possíveis URLs encurtadas. Use busca por código e registre os resultados.</w:t>
      </w:r>
    </w:p>
    <w:p>
      <w:pPr>
        <w:pStyle w:val="MdListItem"/>
        <w:numPr>
          <w:ilvl w:val="0"/>
          <w:numId w:val="2"/>
        </w:numPr>
      </w:pPr>
      <w:r>
        <w:t xml:space="preserve">Localize a logo oficial já utilizada no projeto. Reutilize o asset aprovado; não crie nova marca, não substitua a logo e não introduza imagem de baixa qualidade.</w:t>
      </w:r>
    </w:p>
    <w:p>
      <w:pPr>
        <w:pStyle w:val="MdListItem"/>
        <w:numPr>
          <w:ilvl w:val="0"/>
          <w:numId w:val="2"/>
        </w:numPr>
      </w:pPr>
      <w:r>
        <w:t xml:space="preserve">Execute o baseline de qualidade pelo CLI, usando apenas comandos reais presentes no projeto. Registre versões, scripts executados e resultados de </w:t>
      </w:r>
      <w:r>
        <w:rPr>
          <w:rStyle w:val="MdCode"/>
          <w:u w:val="single"/>
        </w:rPr>
        <w:t xml:space="preserve">git status</w:t>
      </w:r>
      <w:r>
        <w:t xml:space="preserve"> antes de mudar qualquer arquivo.</w:t>
      </w:r>
    </w:p>
    <w:p>
      <w:pPr>
        <w:pStyle w:val="MdSpace"/>
        <w:spacing w:before="0" w:after="60"/>
      </w:pPr>
    </w:p>
    <w:p>
      <w:pPr>
        <w:pStyle w:val="Heading3"/>
        <w:pStyle w:val="MdHeading3"/>
      </w:pPr>
      <w:r>
        <w:t xml:space="preserve">Saída obrigatória do diagnóstico</w:t>
      </w:r>
    </w:p>
    <w:p>
      <w:pPr>
        <w:pStyle w:val="MdParagraph"/>
      </w:pPr>
      <w:r>
        <w:t xml:space="preserve">Antes de implementar, apresente um plano curto contendo: arquivos que serão modificados, componente responsável pelos CTAs, fonte de verdade para links/preços, estratégia para loader, testes a serem executados e risco de regressão identificado. Não implemente enquanto esse plano não estiver claro.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Etapa 1 — Centralizar e validar CTAs e checkout Kiwify</w:t>
      </w:r>
    </w:p>
    <w:p>
      <w:pPr>
        <w:pStyle w:val="Heading3"/>
        <w:pStyle w:val="MdHeading3"/>
      </w:pPr>
      <w:r>
        <w:t xml:space="preserve">1.1 Fonte única de verdade</w:t>
      </w:r>
    </w:p>
    <w:p>
      <w:pPr>
        <w:pStyle w:val="MdParagraph"/>
      </w:pPr>
      <w:r>
        <w:t xml:space="preserve">Crie ou reutilize uma configuração central para CTAs comerciais. Ela deve evitar URLs e preços espalhados em componentes diferentes. A configuração pode ter formato compatível com a arquitetura existente, por exemplo: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CommercialCta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'free_download'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'existing_user'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'offer'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href</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'internal'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'external_checkout'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plan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'vitalicio'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displayedPrice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analyticsEvent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O exemplo é apenas conceitual. Adapte tipos, nomes e local ao padrão do projeto. Não coloque segredo, token, chave privada ou credencial de pagamento no front-end.</w:t>
      </w:r>
    </w:p>
    <w:p>
      <w:pPr>
        <w:pStyle w:val="MdSpace"/>
        <w:spacing w:before="0" w:after="60"/>
      </w:pPr>
    </w:p>
    <w:p>
      <w:pPr>
        <w:pStyle w:val="Heading3"/>
        <w:pStyle w:val="MdHeading3"/>
      </w:pPr>
      <w:r>
        <w:t xml:space="preserve">1.2 Regras de destino</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CTA final</w:t>
            </w:r>
          </w:p>
        </w:tc>
        <w:tc>
          <w:tcPr>
            <w:tcMar>
              <w:top w:type="dxa" w:w="100"/>
              <w:left w:type="dxa" w:w="120"/>
              <w:bottom w:type="dxa" w:w="100"/>
              <w:right w:type="dxa" w:w="120"/>
            </w:tcMar>
            <w:vAlign w:val="center"/>
          </w:tcPr>
          <w:p>
            <w:pPr>
              <w:pStyle w:val="MdTableHeader"/>
            </w:pPr>
            <w:r>
              <w:t xml:space="preserve">Destino esperado</w:t>
            </w:r>
          </w:p>
        </w:tc>
        <w:tc>
          <w:tcPr>
            <w:tcBorders>
              <w:right w:val="none"/>
            </w:tcBorders>
            <w:tcMar>
              <w:top w:type="dxa" w:w="100"/>
              <w:left w:type="dxa" w:w="120"/>
              <w:bottom w:type="dxa" w:w="100"/>
              <w:right w:type="dxa" w:w="120"/>
            </w:tcMar>
            <w:vAlign w:val="center"/>
          </w:tcPr>
          <w:p>
            <w:pPr>
              <w:pStyle w:val="MdTableHeader"/>
            </w:pPr>
            <w:r>
              <w:t xml:space="preserve">Regras de implementação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Baixar grátis</w:t>
            </w:r>
          </w:p>
        </w:tc>
        <w:tc>
          <w:tcPr>
            <w:tcMar>
              <w:top w:type="dxa" w:w="80"/>
              <w:left w:type="dxa" w:w="120"/>
              <w:bottom w:type="dxa" w:w="80"/>
              <w:right w:type="dxa" w:w="120"/>
            </w:tcMar>
            <w:vAlign w:val="center"/>
          </w:tcPr>
          <w:p>
            <w:pPr>
              <w:pStyle w:val="MdTableCell"/>
            </w:pPr>
            <w:r>
              <w:t xml:space="preserve">Rota canônica de </w:t>
            </w:r>
            <w:r>
              <w:rPr>
                <w:rStyle w:val="MdStrong"/>
                <w:b/>
                <w:bCs/>
              </w:rPr>
              <w:t xml:space="preserve">“Descubra quanto você está perdendo”</w:t>
            </w:r>
          </w:p>
        </w:tc>
        <w:tc>
          <w:tcPr>
            <w:tcBorders>
              <w:right w:val="none"/>
            </w:tcBorders>
            <w:tcMar>
              <w:top w:type="dxa" w:w="80"/>
              <w:left w:type="dxa" w:w="120"/>
              <w:bottom w:type="dxa" w:w="80"/>
              <w:right w:type="dxa" w:w="120"/>
            </w:tcMar>
            <w:vAlign w:val="center"/>
          </w:tcPr>
          <w:p>
            <w:pPr>
              <w:pStyle w:val="MdTableCell"/>
            </w:pPr>
            <w:r>
              <w:t xml:space="preserve">Deve abrir o quiz; após conclusão, conduzir para criação de conta e, após sucesso, liberar acesso à plataforma, preservando rastreamento e indicação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Já sou do Corre</w:t>
            </w:r>
          </w:p>
        </w:tc>
        <w:tc>
          <w:tcPr>
            <w:tcMar>
              <w:top w:type="dxa" w:w="80"/>
              <w:left w:type="dxa" w:w="120"/>
              <w:bottom w:type="dxa" w:w="80"/>
              <w:right w:type="dxa" w:w="120"/>
            </w:tcMar>
            <w:vAlign w:val="center"/>
          </w:tcPr>
          <w:p>
            <w:pPr>
              <w:pStyle w:val="MdTableCell"/>
            </w:pPr>
            <w:r>
              <w:t xml:space="preserve">Login, painel ou fluxo atual de usuário já cadastrado</w:t>
            </w:r>
          </w:p>
        </w:tc>
        <w:tc>
          <w:tcPr>
            <w:tcBorders>
              <w:right w:val="none"/>
            </w:tcBorders>
            <w:tcMar>
              <w:top w:type="dxa" w:w="80"/>
              <w:left w:type="dxa" w:w="120"/>
              <w:bottom w:type="dxa" w:w="80"/>
              <w:right w:type="dxa" w:w="120"/>
            </w:tcMar>
            <w:vAlign w:val="center"/>
          </w:tcPr>
          <w:p>
            <w:pPr>
              <w:pStyle w:val="MdTableCell"/>
            </w:pPr>
            <w:r>
              <w:t xml:space="preserve">Não deve abrir checkout; preserve autenticação e redirecionamento pós-login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Oferta</w:t>
            </w:r>
          </w:p>
        </w:tc>
        <w:tc>
          <w:tcPr>
            <w:tcMar>
              <w:top w:type="dxa" w:w="80"/>
              <w:left w:type="dxa" w:w="120"/>
              <w:bottom w:type="dxa" w:w="80"/>
              <w:right w:type="dxa" w:w="120"/>
            </w:tcMar>
            <w:vAlign w:val="center"/>
          </w:tcPr>
          <w:p>
            <w:pPr>
              <w:pStyle w:val="MdTableCell"/>
            </w:pPr>
            <w:r>
              <w:t xml:space="preserve">Checkout Kiwify oficial e validado do plano correspondente</w:t>
            </w:r>
          </w:p>
        </w:tc>
        <w:tc>
          <w:tcPr>
            <w:tcBorders>
              <w:right w:val="none"/>
            </w:tcBorders>
            <w:tcMar>
              <w:top w:type="dxa" w:w="80"/>
              <w:left w:type="dxa" w:w="120"/>
              <w:bottom w:type="dxa" w:w="80"/>
              <w:right w:type="dxa" w:w="120"/>
            </w:tcMar>
            <w:vAlign w:val="center"/>
          </w:tcPr>
          <w:p>
            <w:pPr>
              <w:pStyle w:val="MdTableCell"/>
            </w:pPr>
            <w:r>
              <w:t xml:space="preserve">Deve levar ao checkout correto, com preço exibido e parâmetro de referência preservados quando aplicável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CTA de plano adicional, se existir</w:t>
            </w:r>
          </w:p>
        </w:tc>
        <w:tc>
          <w:tcPr>
            <w:tcBorders>
              <w:bottom w:val="single" w:color="E1E4E8" w:sz="4"/>
            </w:tcBorders>
            <w:tcMar>
              <w:top w:type="dxa" w:w="80"/>
              <w:left w:type="dxa" w:w="120"/>
              <w:bottom w:type="dxa" w:w="80"/>
              <w:right w:type="dxa" w:w="120"/>
            </w:tcMar>
            <w:vAlign w:val="center"/>
          </w:tcPr>
          <w:p>
            <w:pPr>
              <w:pStyle w:val="MdTableCell"/>
            </w:pPr>
            <w:r>
              <w:t xml:space="preserve">Checkout/configuração correspondente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Validar individualmente; não assumir que todos podem apontar para a mesma URL</w:t>
            </w:r>
          </w:p>
        </w:tc>
      </w:tr>
    </w:tbl>
    <w:p>
      <w:pPr>
        <w:pStyle w:val="Heading3"/>
        <w:pStyle w:val="MdHeading3"/>
      </w:pPr>
      <w:r>
        <w:t xml:space="preserve">1.3 Fluxo obrigatório de descoberta, quiz e conta</w:t>
      </w:r>
    </w:p>
    <w:p>
      <w:pPr>
        <w:pStyle w:val="MdParagraph"/>
      </w:pPr>
      <w:r>
        <w:t xml:space="preserve">Implemente ou preserve o seguinte fluxo, sem quebrar as rotas atuais: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Landing page → clique em “Baixar grátis” → “Descubra quanto você está perdendo” → quiz concluído → criação de conta/autenticação → acesso liberado à plataforma</w:t>
      </w:r>
    </w:p>
    <w:p>
      <w:pPr>
        <w:pStyle w:val="MdSpace"/>
        <w:spacing w:before="0" w:after="60"/>
      </w:pPr>
    </w:p>
    <w:p>
      <w:pPr>
        <w:pStyle w:val="MdListItem"/>
        <w:numPr>
          <w:ilvl w:val="0"/>
          <w:numId w:val="2"/>
        </w:numPr>
      </w:pPr>
      <w:r>
        <w:t xml:space="preserve">Identifique se o quiz e a tela de criação de conta já existem. Reutilize componentes, rotas, validações e estados existentes em vez de duplicar formulários.</w:t>
      </w:r>
    </w:p>
    <w:p>
      <w:pPr>
        <w:pStyle w:val="MdListItem"/>
        <w:numPr>
          <w:ilvl w:val="0"/>
          <w:numId w:val="2"/>
        </w:numPr>
      </w:pPr>
      <w:r>
        <w:t xml:space="preserve">O quiz deve ter progresso compreensível, validação de resposta, possibilidade de voltar sem perder respostas e comportamento responsivo. Não deve exigir dados sensíveis que não sejam necessários ao diagnóstico.</w:t>
      </w:r>
    </w:p>
    <w:p>
      <w:pPr>
        <w:pStyle w:val="MdListItem"/>
        <w:numPr>
          <w:ilvl w:val="0"/>
          <w:numId w:val="2"/>
        </w:numPr>
      </w:pPr>
      <w:r>
        <w:t xml:space="preserve">Ao concluir o quiz, preserve as respostas de forma segura até a criação da conta. Se houver armazenamento temporário, use expiração, limpeza após conclusão e o padrão de privacidade já adotado no projeto.</w:t>
      </w:r>
    </w:p>
    <w:p>
      <w:pPr>
        <w:pStyle w:val="MdListItem"/>
        <w:numPr>
          <w:ilvl w:val="0"/>
          <w:numId w:val="2"/>
        </w:numPr>
      </w:pPr>
      <w:r>
        <w:t xml:space="preserve">Após a criação de conta ou login concluído, crie/associe o registro do diagnóstico apenas se a pessoa concordar com a finalidade apresentada; então redirecione para o painel, resultado ou onboarding correspondente.</w:t>
      </w:r>
    </w:p>
    <w:p>
      <w:pPr>
        <w:pStyle w:val="MdListItem"/>
        <w:numPr>
          <w:ilvl w:val="0"/>
          <w:numId w:val="2"/>
        </w:numPr>
      </w:pPr>
      <w:r>
        <w:t xml:space="preserve">Em caso de cancelamento, erro de rede ou erro de cadastro, mantenha o usuário no ponto recuperável do fluxo e apresente mensagem clara, sem apagar respostas válidas nem enviar o usuário ao checkout.</w:t>
      </w:r>
    </w:p>
    <w:p>
      <w:pPr>
        <w:pStyle w:val="MdListItem"/>
        <w:numPr>
          <w:ilvl w:val="0"/>
          <w:numId w:val="2"/>
        </w:numPr>
      </w:pPr>
      <w:r>
        <w:t xml:space="preserve">Não use o resultado do quiz para prometer renda, oferta financeira, crédito ou retorno garantido. Apresente-o como orientação baseada nas respostas inseridas pela própria pessoa.</w:t>
      </w:r>
    </w:p>
    <w:p>
      <w:pPr>
        <w:pStyle w:val="MdSpace"/>
        <w:spacing w:before="0" w:after="60"/>
      </w:pPr>
    </w:p>
    <w:p>
      <w:pPr>
        <w:pStyle w:val="Heading3"/>
        <w:pStyle w:val="MdHeading3"/>
      </w:pPr>
      <w:r>
        <w:t xml:space="preserve">1.4 Verificação de Kiwify</w:t>
      </w:r>
    </w:p>
    <w:p>
      <w:pPr>
        <w:pStyle w:val="MdListItem"/>
        <w:numPr>
          <w:ilvl w:val="0"/>
          <w:numId w:val="2"/>
        </w:numPr>
      </w:pPr>
      <w:r>
        <w:t xml:space="preserve">Para cada botão comercial, compare URL configurada, nome do plano e preço visível com a referência oficial disponível no projeto ou no ambiente configurado.</w:t>
      </w:r>
    </w:p>
    <w:p>
      <w:pPr>
        <w:pStyle w:val="MdListItem"/>
        <w:numPr>
          <w:ilvl w:val="0"/>
          <w:numId w:val="2"/>
        </w:numPr>
      </w:pPr>
      <w:r>
        <w:t xml:space="preserve">Valide que o checkout responde e não apresenta URL quebrada. Não conclua compra, não preencha dados pessoais e não execute pagamento.</w:t>
      </w:r>
    </w:p>
    <w:p>
      <w:pPr>
        <w:pStyle w:val="MdListItem"/>
        <w:numPr>
          <w:ilvl w:val="0"/>
          <w:numId w:val="2"/>
        </w:numPr>
      </w:pPr>
      <w:r>
        <w:t xml:space="preserve">Confirme que o valor de </w:t>
      </w:r>
      <w:r>
        <w:rPr>
          <w:rStyle w:val="MdStrong"/>
          <w:b/>
          <w:bCs/>
        </w:rPr>
        <w:t xml:space="preserve">R$ 18,90</w:t>
      </w:r>
      <w:r>
        <w:t xml:space="preserve"> está correto no CTA e no checkout aplicável. Se houver divergência, </w:t>
      </w:r>
      <w:r>
        <w:rPr>
          <w:rStyle w:val="MdStrong"/>
          <w:b/>
          <w:bCs/>
        </w:rPr>
        <w:t xml:space="preserve">pare a implementação</w:t>
      </w:r>
      <w:r>
        <w:t xml:space="preserve">, registre a discrepância e peça confirmação ao responsável; não “corrija” para um valor presumido.</w:t>
      </w:r>
    </w:p>
    <w:p>
      <w:pPr>
        <w:pStyle w:val="MdListItem"/>
        <w:numPr>
          <w:ilvl w:val="0"/>
          <w:numId w:val="2"/>
        </w:numPr>
      </w:pPr>
      <w:r>
        <w:t xml:space="preserve">Preserve parâmetros de UTM, </w:t>
      </w:r>
      <w:r>
        <w:rPr>
          <w:rStyle w:val="MdCode"/>
          <w:u w:val="single"/>
        </w:rPr>
        <w:t xml:space="preserve">ref</w:t>
      </w:r>
      <w:r>
        <w:t xml:space="preserve">, indicação, campanha e analytics já existentes. Se necessário, crie teste que assegure a preservação desses parâmetros.</w:t>
      </w:r>
    </w:p>
    <w:p>
      <w:pPr>
        <w:pStyle w:val="MdListItem"/>
        <w:numPr>
          <w:ilvl w:val="0"/>
          <w:numId w:val="2"/>
        </w:numPr>
      </w:pPr>
      <w:r>
        <w:t xml:space="preserve">Para links externos, use o comportamento de segurança já adotado pelo projeto. Se abrir nova guia, valide a política de </w:t>
      </w:r>
      <w:r>
        <w:rPr>
          <w:rStyle w:val="MdCode"/>
          <w:u w:val="single"/>
        </w:rPr>
        <w:t xml:space="preserve">rel</w:t>
      </w:r>
      <w:r>
        <w:t xml:space="preserve"> adequada conforme o padrão do código.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Etapa 2 — Identidade visual e renomeação de botões</w:t>
      </w:r>
    </w:p>
    <w:p>
      <w:pPr>
        <w:pStyle w:val="Heading3"/>
        <w:pStyle w:val="MdHeading3"/>
      </w:pPr>
      <w:r>
        <w:t xml:space="preserve">2.1 Rótulos obrigatórios</w:t>
      </w:r>
    </w:p>
    <w:p>
      <w:pPr>
        <w:pStyle w:val="MdParagraph"/>
      </w:pPr>
      <w:r>
        <w:t xml:space="preserve">Substitua os rótulos no contexto correto:</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Texto anterior</w:t>
            </w:r>
          </w:p>
        </w:tc>
        <w:tc>
          <w:tcPr>
            <w:tcMar>
              <w:top w:type="dxa" w:w="100"/>
              <w:left w:type="dxa" w:w="120"/>
              <w:bottom w:type="dxa" w:w="100"/>
              <w:right w:type="dxa" w:w="120"/>
            </w:tcMar>
            <w:vAlign w:val="center"/>
          </w:tcPr>
          <w:p>
            <w:pPr>
              <w:pStyle w:val="MdTableHeader"/>
            </w:pPr>
            <w:r>
              <w:t xml:space="preserve">Texto novo</w:t>
            </w:r>
          </w:p>
        </w:tc>
        <w:tc>
          <w:tcPr>
            <w:tcBorders>
              <w:right w:val="none"/>
            </w:tcBorders>
            <w:tcMar>
              <w:top w:type="dxa" w:w="100"/>
              <w:left w:type="dxa" w:w="120"/>
              <w:bottom w:type="dxa" w:w="100"/>
              <w:right w:type="dxa" w:w="120"/>
            </w:tcMar>
            <w:vAlign w:val="center"/>
          </w:tcPr>
          <w:p>
            <w:pPr>
              <w:pStyle w:val="MdTableHeader"/>
            </w:pPr>
            <w:r>
              <w:t xml:space="preserve">Finalidade preservada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Entrar</w:t>
            </w:r>
          </w:p>
        </w:tc>
        <w:tc>
          <w:tcPr>
            <w:tcMar>
              <w:top w:type="dxa" w:w="80"/>
              <w:left w:type="dxa" w:w="120"/>
              <w:bottom w:type="dxa" w:w="80"/>
              <w:right w:type="dxa" w:w="120"/>
            </w:tcMar>
            <w:vAlign w:val="center"/>
          </w:tcPr>
          <w:p>
            <w:pPr>
              <w:pStyle w:val="MdTableCell"/>
            </w:pPr>
            <w:r>
              <w:rPr>
                <w:rStyle w:val="MdCode"/>
                <w:b/>
                <w:bCs/>
                <w:u w:val="single"/>
              </w:rPr>
              <w:t xml:space="preserve">Já sou do Corre</w:t>
            </w:r>
          </w:p>
        </w:tc>
        <w:tc>
          <w:tcPr>
            <w:tcBorders>
              <w:right w:val="none"/>
            </w:tcBorders>
            <w:tcMar>
              <w:top w:type="dxa" w:w="80"/>
              <w:left w:type="dxa" w:w="120"/>
              <w:bottom w:type="dxa" w:w="80"/>
              <w:right w:type="dxa" w:w="120"/>
            </w:tcMar>
            <w:vAlign w:val="center"/>
          </w:tcPr>
          <w:p>
            <w:pPr>
              <w:pStyle w:val="MdTableCell"/>
            </w:pPr>
            <w:r>
              <w:t xml:space="preserve">Acesso de quem já tem conta ou já usa o MeuCorre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Comprar</w:t>
            </w:r>
          </w:p>
        </w:tc>
        <w:tc>
          <w:tcPr>
            <w:tcMar>
              <w:top w:type="dxa" w:w="80"/>
              <w:left w:type="dxa" w:w="120"/>
              <w:bottom w:type="dxa" w:w="80"/>
              <w:right w:type="dxa" w:w="120"/>
            </w:tcMar>
            <w:vAlign w:val="center"/>
          </w:tcPr>
          <w:p>
            <w:pPr>
              <w:pStyle w:val="MdTableCell"/>
            </w:pPr>
            <w:r>
              <w:rPr>
                <w:rStyle w:val="MdCode"/>
                <w:b/>
                <w:bCs/>
                <w:u w:val="single"/>
              </w:rPr>
              <w:t xml:space="preserve">Oferta</w:t>
            </w:r>
          </w:p>
        </w:tc>
        <w:tc>
          <w:tcPr>
            <w:tcBorders>
              <w:right w:val="none"/>
            </w:tcBorders>
            <w:tcMar>
              <w:top w:type="dxa" w:w="80"/>
              <w:left w:type="dxa" w:w="120"/>
              <w:bottom w:type="dxa" w:w="80"/>
              <w:right w:type="dxa" w:w="120"/>
            </w:tcMar>
            <w:vAlign w:val="center"/>
          </w:tcPr>
          <w:p>
            <w:pPr>
              <w:pStyle w:val="MdTableCell"/>
            </w:pPr>
            <w:r>
              <w:t xml:space="preserve">Acesso à oferta comercial validada no checkout Kiwify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Baixar grátis</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Manter exatamente este texto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Acesso ao fluxo gratuito correto</w:t>
            </w:r>
          </w:p>
        </w:tc>
      </w:tr>
    </w:tbl>
    <w:p>
      <w:pPr>
        <w:pStyle w:val="MdParagraph"/>
      </w:pPr>
      <w:r>
        <w:t xml:space="preserve">Antes de substituir textos globalmente, verifique se “Entrar” ou “Comprar” aparecem em outros contextos, como painel administrativo, confirmação de pedido, links de terceiros ou textos legais. Renomeie somente os CTAs da landing page e pontos equivalentes de aquisição, sem alterar textos cujo significado seja diferente.</w:t>
      </w:r>
    </w:p>
    <w:p>
      <w:pPr>
        <w:pStyle w:val="MdSpace"/>
        <w:spacing w:before="0" w:after="60"/>
      </w:pPr>
    </w:p>
    <w:p>
      <w:pPr>
        <w:pStyle w:val="Heading3"/>
        <w:pStyle w:val="MdHeading3"/>
      </w:pPr>
      <w:r>
        <w:t xml:space="preserve">2.2 Redimensionamento e consistência</w:t>
      </w:r>
    </w:p>
    <w:p>
      <w:pPr>
        <w:pStyle w:val="MdParagraph"/>
      </w:pPr>
      <w:r>
        <w:t xml:space="preserve">Revise os CTAs principais em desktop e mobile. Eles devem manter a identidade visual do MeuCorre: contraste suficiente, cor de destaque coerente com o verde esmeralda da marca, estados de foco visíveis, espaçamento confortável para toque e hierarquia clara entre CTA gratuito, acesso existente e oferta.</w:t>
      </w:r>
    </w:p>
    <w:p>
      <w:pPr>
        <w:pStyle w:val="MdSpace"/>
        <w:spacing w:before="0" w:after="60"/>
      </w:pPr>
    </w:p>
    <w:p>
      <w:pPr>
        <w:pStyle w:val="MdParagraph"/>
      </w:pPr>
      <w:r>
        <w:t xml:space="preserve">Use classes, tokens ou componentes já existentes antes de criar estilos duplicados. Evite pixel fixo que quebre em telas pequenas. Não mude a paleta, tipografia global ou logotipo sem necessidade. Não transforme a página em um conjunto de botões igualmente agressivos: “Baixar grátis” deve ser o CTA de descoberta, “Já sou do Corre” um caminho secundário claro e “Oferta” um CTA comercial transparente.</w:t>
      </w:r>
    </w:p>
    <w:p>
      <w:pPr>
        <w:pStyle w:val="MdSpace"/>
        <w:spacing w:before="0" w:after="60"/>
      </w:pPr>
    </w:p>
    <w:p>
      <w:pPr>
        <w:pStyle w:val="Heading3"/>
        <w:pStyle w:val="MdHeading3"/>
      </w:pPr>
      <w:r>
        <w:t xml:space="preserve">2.3 Acessibilidade</w:t>
      </w:r>
    </w:p>
    <w:p>
      <w:pPr>
        <w:pStyle w:val="MdParagraph"/>
      </w:pPr>
      <w:r>
        <w:t xml:space="preserve">Todos os botões devem ter texto visível compreensível e, quando necessário, </w:t>
      </w:r>
      <w:r>
        <w:rPr>
          <w:rStyle w:val="MdCode"/>
          <w:u w:val="single"/>
        </w:rPr>
        <w:t xml:space="preserve">aria-label</w:t>
      </w:r>
      <w:r>
        <w:t xml:space="preserve"> que complemente sem duplicar. Garanta ordem de tabulação lógica, foco visível, contraste adequado e área de toque confortável. Não use a cor como único meio de comunicar a finalidade.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Etapa 3 — Tela de carregamento com logo MeuCorre</w:t>
      </w:r>
    </w:p>
    <w:p>
      <w:pPr>
        <w:pStyle w:val="Heading3"/>
        <w:pStyle w:val="MdHeading3"/>
      </w:pPr>
      <w:r>
        <w:t xml:space="preserve">3.1 Comportamento esperado</w:t>
      </w:r>
    </w:p>
    <w:p>
      <w:pPr>
        <w:pStyle w:val="MdParagraph"/>
      </w:pPr>
      <w:r>
        <w:t xml:space="preserve">Implemente um estado de carregamento leve, com a </w:t>
      </w:r>
      <w:r>
        <w:rPr>
          <w:rStyle w:val="MdStrong"/>
          <w:b/>
          <w:bCs/>
        </w:rPr>
        <w:t xml:space="preserve">logo oficial do MeuCorre</w:t>
      </w:r>
      <w:r>
        <w:t xml:space="preserve">, nos seguintes momentos:</w:t>
      </w:r>
    </w:p>
    <w:p>
      <w:pPr>
        <w:pStyle w:val="MdSpace"/>
        <w:spacing w:before="0" w:after="60"/>
      </w:pPr>
    </w:p>
    <w:p>
      <w:pPr>
        <w:pStyle w:val="MdListItem"/>
        <w:numPr>
          <w:ilvl w:val="0"/>
          <w:numId w:val="2"/>
        </w:numPr>
      </w:pPr>
      <w:r>
        <w:t xml:space="preserve">Carregamento inicial da aplicação.</w:t>
      </w:r>
    </w:p>
    <w:p>
      <w:pPr>
        <w:pStyle w:val="MdListItem"/>
        <w:numPr>
          <w:ilvl w:val="0"/>
          <w:numId w:val="2"/>
        </w:numPr>
      </w:pPr>
      <w:r>
        <w:t xml:space="preserve">Troca de página/rota interna quando houver carregamento perceptível.</w:t>
      </w:r>
    </w:p>
    <w:p>
      <w:pPr>
        <w:pStyle w:val="MdListItem"/>
        <w:numPr>
          <w:ilvl w:val="0"/>
          <w:numId w:val="2"/>
        </w:numPr>
      </w:pPr>
      <w:r>
        <w:t xml:space="preserve">Mudança de aba ou seção interna apenas quando ela disparar carregamento de conteúdo relevante.</w:t>
      </w:r>
    </w:p>
    <w:p>
      <w:pPr>
        <w:pStyle w:val="MdSpace"/>
        <w:spacing w:before="0" w:after="60"/>
      </w:pPr>
    </w:p>
    <w:p>
      <w:pPr>
        <w:pStyle w:val="MdParagraph"/>
      </w:pPr>
      <w:r>
        <w:t xml:space="preserve">O loader deve aparecer somente enquanto existe uma operação real de inicialização, transição ou busca. Ele não pode bloquear a navegação em transições instantâneas, criar flashes repetitivos, atrasar conteúdo já pronto nem reabrir em loop.</w:t>
      </w:r>
    </w:p>
    <w:p>
      <w:pPr>
        <w:pStyle w:val="MdSpace"/>
        <w:spacing w:before="0" w:after="60"/>
      </w:pPr>
    </w:p>
    <w:p>
      <w:pPr>
        <w:pStyle w:val="Heading3"/>
        <w:pStyle w:val="MdHeading3"/>
      </w:pPr>
      <w:r>
        <w:t xml:space="preserve">3.2 Requisitos visuais e de experiência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Requisito</w:t>
            </w:r>
          </w:p>
        </w:tc>
        <w:tc>
          <w:tcPr>
            <w:tcBorders>
              <w:right w:val="none"/>
            </w:tcBorders>
            <w:tcMar>
              <w:top w:type="dxa" w:w="100"/>
              <w:left w:type="dxa" w:w="120"/>
              <w:bottom w:type="dxa" w:w="100"/>
              <w:right w:type="dxa" w:w="120"/>
            </w:tcMar>
            <w:vAlign w:val="center"/>
          </w:tcPr>
          <w:p>
            <w:pPr>
              <w:pStyle w:val="MdTableHeader"/>
            </w:pPr>
            <w:r>
              <w:t xml:space="preserve">Regra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Logo</w:t>
            </w:r>
          </w:p>
        </w:tc>
        <w:tc>
          <w:tcPr>
            <w:tcBorders>
              <w:right w:val="none"/>
            </w:tcBorders>
            <w:tcMar>
              <w:top w:type="dxa" w:w="80"/>
              <w:left w:type="dxa" w:w="120"/>
              <w:bottom w:type="dxa" w:w="80"/>
              <w:right w:type="dxa" w:w="120"/>
            </w:tcMar>
            <w:vAlign w:val="center"/>
          </w:tcPr>
          <w:p>
            <w:pPr>
              <w:pStyle w:val="MdTableCell"/>
            </w:pPr>
            <w:r>
              <w:t xml:space="preserve">Reutilizar asset oficial existente; preservar proporção e nitidez</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Fundo</w:t>
            </w:r>
          </w:p>
        </w:tc>
        <w:tc>
          <w:tcPr>
            <w:tcBorders>
              <w:right w:val="none"/>
            </w:tcBorders>
            <w:tcMar>
              <w:top w:type="dxa" w:w="80"/>
              <w:left w:type="dxa" w:w="120"/>
              <w:bottom w:type="dxa" w:w="80"/>
              <w:right w:type="dxa" w:w="120"/>
            </w:tcMar>
            <w:vAlign w:val="center"/>
          </w:tcPr>
          <w:p>
            <w:pPr>
              <w:pStyle w:val="MdTableCell"/>
            </w:pPr>
            <w:r>
              <w:t xml:space="preserve">Coerente com a identidade atual, sem reduzir contraste ou esconder status crítico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Animação</w:t>
            </w:r>
          </w:p>
        </w:tc>
        <w:tc>
          <w:tcPr>
            <w:tcBorders>
              <w:right w:val="none"/>
            </w:tcBorders>
            <w:tcMar>
              <w:top w:type="dxa" w:w="80"/>
              <w:left w:type="dxa" w:w="120"/>
              <w:bottom w:type="dxa" w:w="80"/>
              <w:right w:type="dxa" w:w="120"/>
            </w:tcMar>
            <w:vAlign w:val="center"/>
          </w:tcPr>
          <w:p>
            <w:pPr>
              <w:pStyle w:val="MdTableCell"/>
            </w:pPr>
            <w:r>
              <w:t xml:space="preserve">Sutil, opcional e respeitando </w:t>
            </w:r>
            <w:r>
              <w:rPr>
                <w:rStyle w:val="MdCode"/>
                <w:u w:val="single"/>
              </w:rPr>
              <w:t xml:space="preserve">prefers-reduced-motion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Acessibilidade</w:t>
            </w:r>
          </w:p>
        </w:tc>
        <w:tc>
          <w:tcPr>
            <w:tcBorders>
              <w:right w:val="none"/>
            </w:tcBorders>
            <w:tcMar>
              <w:top w:type="dxa" w:w="80"/>
              <w:left w:type="dxa" w:w="120"/>
              <w:bottom w:type="dxa" w:w="80"/>
              <w:right w:type="dxa" w:w="120"/>
            </w:tcMar>
            <w:vAlign w:val="center"/>
          </w:tcPr>
          <w:p>
            <w:pPr>
              <w:pStyle w:val="MdTableCell"/>
            </w:pPr>
            <w:r>
              <w:t xml:space="preserve">Estado com </w:t>
            </w:r>
            <w:r>
              <w:rPr>
                <w:rStyle w:val="MdCode"/>
                <w:u w:val="single"/>
              </w:rPr>
              <w:t xml:space="preserve">role="status"</w:t>
            </w:r>
            <w:r>
              <w:t xml:space="preserve"> ou mecanismo equivalente; texto alternativo adequado; não anunciar repetidamente em trocas instantâneas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Interação</w:t>
            </w:r>
          </w:p>
        </w:tc>
        <w:tc>
          <w:tcPr>
            <w:tcBorders>
              <w:right w:val="none"/>
            </w:tcBorders>
            <w:tcMar>
              <w:top w:type="dxa" w:w="80"/>
              <w:left w:type="dxa" w:w="120"/>
              <w:bottom w:type="dxa" w:w="80"/>
              <w:right w:type="dxa" w:w="120"/>
            </w:tcMar>
            <w:vAlign w:val="center"/>
          </w:tcPr>
          <w:p>
            <w:pPr>
              <w:pStyle w:val="MdTableCell"/>
            </w:pPr>
            <w:r>
              <w:t xml:space="preserve">Não aprisionar foco indevidamente; evitar tela de bloqueio quando conteúdo já estiver acessível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Desempenho</w:t>
            </w:r>
          </w:p>
        </w:tc>
        <w:tc>
          <w:tcPr>
            <w:tcBorders>
              <w:right w:val="none"/>
            </w:tcBorders>
            <w:tcMar>
              <w:top w:type="dxa" w:w="80"/>
              <w:left w:type="dxa" w:w="120"/>
              <w:bottom w:type="dxa" w:w="80"/>
              <w:right w:type="dxa" w:w="120"/>
            </w:tcMar>
            <w:vAlign w:val="center"/>
          </w:tcPr>
          <w:p>
            <w:pPr>
              <w:pStyle w:val="MdTableCell"/>
            </w:pPr>
            <w:r>
              <w:t xml:space="preserve">Evitar dependência adicional pesada; preferir CSS e assets já disponíveis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PWA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Testar primeira carga, recarga, carga offline e retorno do cache conforme o comportamento existente</w:t>
            </w:r>
          </w:p>
        </w:tc>
      </w:tr>
    </w:tbl>
    <w:p>
      <w:pPr>
        <w:pStyle w:val="Heading3"/>
        <w:pStyle w:val="MdHeading3"/>
      </w:pPr>
      <w:r>
        <w:t xml:space="preserve">3.3 Arquitetura de loader</w:t>
      </w:r>
    </w:p>
    <w:p>
      <w:pPr>
        <w:pStyle w:val="MdParagraph"/>
      </w:pPr>
      <w:r>
        <w:t xml:space="preserve">Crie um componente reutilizável, por exemplo </w:t>
      </w:r>
      <w:r>
        <w:rPr>
          <w:rStyle w:val="MdCode"/>
          <w:u w:val="single"/>
        </w:rPr>
        <w:t xml:space="preserve">AppLoadingLogo</w:t>
      </w:r>
      <w:r>
        <w:t xml:space="preserve">, compatível com o padrão do repositório. A ativação deve ser centralizada no mecanismo de inicialização/rotas, e não duplicada em cada botão. Se a aplicação já possui loader, evolua-o sem criar dois carregamentos concorrentes.</w:t>
      </w:r>
    </w:p>
    <w:p>
      <w:pPr>
        <w:pStyle w:val="MdSpace"/>
        <w:spacing w:before="0" w:after="60"/>
      </w:pPr>
    </w:p>
    <w:p>
      <w:pPr>
        <w:pStyle w:val="MdParagraph"/>
      </w:pPr>
      <w:r>
        <w:t xml:space="preserve">Para mudança de aba interna, use o estado real de carregamento de dados ou transição. Não mostre loader apenas por clique. A transição deve ser cancelável/segura se o usuário navegar novamente, e nenhuma atualização deve ocorrer após desmontagem de componente.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Etapa 4 — Testes obrigatórios por implementação</w:t>
      </w:r>
    </w:p>
    <w:p>
      <w:pPr>
        <w:pStyle w:val="MdParagraph"/>
      </w:pPr>
      <w:r>
        <w:t xml:space="preserve">Implemente uma unidade pequena de mudança por vez e siga este ciclo sem exceção:</w:t>
      </w:r>
    </w:p>
    <w:p>
      <w:pPr>
        <w:pStyle w:val="MdSpace"/>
        <w:spacing w:before="0" w:after="60"/>
      </w:pPr>
    </w:p>
    <w:p>
      <w:pPr>
        <w:pStyle w:val="MdListItem"/>
        <w:numPr>
          <w:ilvl w:val="0"/>
          <w:numId w:val="2"/>
        </w:numPr>
      </w:pPr>
      <w:r>
        <w:t xml:space="preserve">Implementar uma alteração atômica.</w:t>
      </w:r>
    </w:p>
    <w:p>
      <w:pPr>
        <w:pStyle w:val="MdListItem"/>
        <w:numPr>
          <w:ilvl w:val="0"/>
          <w:numId w:val="2"/>
        </w:numPr>
      </w:pPr>
      <w:r>
        <w:t xml:space="preserve">Rodar formatação, lint, type-check, testes relevantes e build pelo CLI, usando scripts reais do projeto.</w:t>
      </w:r>
    </w:p>
    <w:p>
      <w:pPr>
        <w:pStyle w:val="MdListItem"/>
        <w:numPr>
          <w:ilvl w:val="0"/>
          <w:numId w:val="2"/>
        </w:numPr>
      </w:pPr>
      <w:r>
        <w:t xml:space="preserve">Se qualquer comando falhar, parar; corrigir a causa; rodar novamente todos os checks aplicáveis.</w:t>
      </w:r>
    </w:p>
    <w:p>
      <w:pPr>
        <w:pStyle w:val="MdListItem"/>
        <w:numPr>
          <w:ilvl w:val="0"/>
          <w:numId w:val="2"/>
        </w:numPr>
      </w:pPr>
      <w:r>
        <w:t xml:space="preserve">Validar manualmente em viewport mobile e desktop quando a mudança afetar UI.</w:t>
      </w:r>
    </w:p>
    <w:p>
      <w:pPr>
        <w:pStyle w:val="MdListItem"/>
        <w:numPr>
          <w:ilvl w:val="0"/>
          <w:numId w:val="2"/>
        </w:numPr>
      </w:pPr>
      <w:r>
        <w:t xml:space="preserve">Confirmar que nenhum fluxo existente foi quebrado.</w:t>
      </w:r>
    </w:p>
    <w:p>
      <w:pPr>
        <w:pStyle w:val="MdListItem"/>
        <w:numPr>
          <w:ilvl w:val="0"/>
          <w:numId w:val="2"/>
        </w:numPr>
      </w:pPr>
      <w:r>
        <w:t xml:space="preserve">Revisar o diff com </w:t>
      </w:r>
      <w:r>
        <w:rPr>
          <w:rStyle w:val="MdCode"/>
          <w:u w:val="single"/>
        </w:rPr>
        <w:t xml:space="preserve">git diff --check</w:t>
      </w:r>
      <w:r>
        <w:t xml:space="preserve"> e </w:t>
      </w:r>
      <w:r>
        <w:rPr>
          <w:rStyle w:val="MdCode"/>
          <w:u w:val="single"/>
        </w:rPr>
        <w:t xml:space="preserve">git diff</w:t>
      </w:r>
      <w:r>
        <w:t xml:space="preserve">.</w:t>
      </w:r>
    </w:p>
    <w:p>
      <w:pPr>
        <w:pStyle w:val="MdListItem"/>
        <w:numPr>
          <w:ilvl w:val="0"/>
          <w:numId w:val="2"/>
        </w:numPr>
      </w:pPr>
      <w:r>
        <w:t xml:space="preserve">Criar um commit atômico somente após todos os testes aprovados.</w:t>
      </w:r>
    </w:p>
    <w:p>
      <w:pPr>
        <w:pStyle w:val="MdListItem"/>
        <w:numPr>
          <w:ilvl w:val="0"/>
          <w:numId w:val="2"/>
        </w:numPr>
      </w:pPr>
      <w:r>
        <w:t xml:space="preserve">Verificar o commit com </w:t>
      </w:r>
      <w:r>
        <w:rPr>
          <w:rStyle w:val="MdCode"/>
          <w:u w:val="single"/>
        </w:rPr>
        <w:t xml:space="preserve">git status</w:t>
      </w:r>
      <w:r>
        <w:t xml:space="preserve">, </w:t>
      </w:r>
      <w:r>
        <w:rPr>
          <w:rStyle w:val="MdCode"/>
          <w:u w:val="single"/>
        </w:rPr>
        <w:t xml:space="preserve">git log -1 --oneline</w:t>
      </w:r>
      <w:r>
        <w:t xml:space="preserve"> e o status do hook/CI disponível.</w:t>
      </w:r>
    </w:p>
    <w:p>
      <w:pPr>
        <w:pStyle w:val="MdListItem"/>
        <w:numPr>
          <w:ilvl w:val="0"/>
          <w:numId w:val="2"/>
        </w:numPr>
      </w:pPr>
      <w:r>
        <w:t xml:space="preserve">Só então iniciar a próxima unidade.</w:t>
      </w:r>
    </w:p>
    <w:p>
      <w:pPr>
        <w:pStyle w:val="MdSpace"/>
        <w:spacing w:before="0" w:after="60"/>
      </w:pPr>
    </w:p>
    <w:p>
      <w:pPr>
        <w:pStyle w:val="Heading3"/>
        <w:pStyle w:val="MdHeading3"/>
      </w:pPr>
      <w:r>
        <w:t xml:space="preserve">4.1 Casos mínimos de teste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Cenário</w:t>
            </w:r>
          </w:p>
        </w:tc>
        <w:tc>
          <w:tcPr>
            <w:tcBorders>
              <w:right w:val="none"/>
            </w:tcBorders>
            <w:tcMar>
              <w:top w:type="dxa" w:w="100"/>
              <w:left w:type="dxa" w:w="120"/>
              <w:bottom w:type="dxa" w:w="100"/>
              <w:right w:type="dxa" w:w="120"/>
            </w:tcMar>
            <w:vAlign w:val="center"/>
          </w:tcPr>
          <w:p>
            <w:pPr>
              <w:pStyle w:val="MdTableHeader"/>
            </w:pPr>
            <w:r>
              <w:t xml:space="preserve">Resultado esperado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Landing desktop</w:t>
            </w:r>
          </w:p>
        </w:tc>
        <w:tc>
          <w:tcPr>
            <w:tcBorders>
              <w:right w:val="none"/>
            </w:tcBorders>
            <w:tcMar>
              <w:top w:type="dxa" w:w="80"/>
              <w:left w:type="dxa" w:w="120"/>
              <w:bottom w:type="dxa" w:w="80"/>
              <w:right w:type="dxa" w:w="120"/>
            </w:tcMar>
            <w:vAlign w:val="center"/>
          </w:tcPr>
          <w:p>
            <w:pPr>
              <w:pStyle w:val="MdTableCell"/>
            </w:pPr>
            <w:r>
              <w:t xml:space="preserve">Os três CTAs estão visíveis, com nomes corretos, identidade consistente e destinos corretos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Landing mobile</w:t>
            </w:r>
          </w:p>
        </w:tc>
        <w:tc>
          <w:tcPr>
            <w:tcBorders>
              <w:right w:val="none"/>
            </w:tcBorders>
            <w:tcMar>
              <w:top w:type="dxa" w:w="80"/>
              <w:left w:type="dxa" w:w="120"/>
              <w:bottom w:type="dxa" w:w="80"/>
              <w:right w:type="dxa" w:w="120"/>
            </w:tcMar>
            <w:vAlign w:val="center"/>
          </w:tcPr>
          <w:p>
            <w:pPr>
              <w:pStyle w:val="MdTableCell"/>
            </w:pPr>
            <w:r>
              <w:t xml:space="preserve">CTAs não estouram largura, permanecem clicáveis e têm foco/tamanho adequados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Baixar grátis</w:t>
            </w:r>
          </w:p>
        </w:tc>
        <w:tc>
          <w:tcPr>
            <w:tcBorders>
              <w:right w:val="none"/>
            </w:tcBorders>
            <w:tcMar>
              <w:top w:type="dxa" w:w="80"/>
              <w:left w:type="dxa" w:w="120"/>
              <w:bottom w:type="dxa" w:w="80"/>
              <w:right w:type="dxa" w:w="120"/>
            </w:tcMar>
            <w:vAlign w:val="center"/>
          </w:tcPr>
          <w:p>
            <w:pPr>
              <w:pStyle w:val="MdTableCell"/>
            </w:pPr>
            <w:r>
              <w:t xml:space="preserve">Direciona para “Descubra quanto você está perdendo”; o quiz é concluído; a criação de conta ocorre após o quiz; o acesso à plataforma é liberado após sucesso; nunca abre checkout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Já sou do Corre</w:t>
            </w:r>
          </w:p>
        </w:tc>
        <w:tc>
          <w:tcPr>
            <w:tcBorders>
              <w:right w:val="none"/>
            </w:tcBorders>
            <w:tcMar>
              <w:top w:type="dxa" w:w="80"/>
              <w:left w:type="dxa" w:w="120"/>
              <w:bottom w:type="dxa" w:w="80"/>
              <w:right w:type="dxa" w:w="120"/>
            </w:tcMar>
            <w:vAlign w:val="center"/>
          </w:tcPr>
          <w:p>
            <w:pPr>
              <w:pStyle w:val="MdTableCell"/>
            </w:pPr>
            <w:r>
              <w:t xml:space="preserve">Direciona ao login/painel correspondente; não abre checkout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Oferta</w:t>
            </w:r>
          </w:p>
        </w:tc>
        <w:tc>
          <w:tcPr>
            <w:tcBorders>
              <w:right w:val="none"/>
            </w:tcBorders>
            <w:tcMar>
              <w:top w:type="dxa" w:w="80"/>
              <w:left w:type="dxa" w:w="120"/>
              <w:bottom w:type="dxa" w:w="80"/>
              <w:right w:type="dxa" w:w="120"/>
            </w:tcMar>
            <w:vAlign w:val="center"/>
          </w:tcPr>
          <w:p>
            <w:pPr>
              <w:pStyle w:val="MdTableCell"/>
            </w:pPr>
            <w:r>
              <w:t xml:space="preserve">Direciona ao checkout Kiwify oficial com plano/preço corretos; não remove parâmetros de indicação/UTM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Preservação de contexto</w:t>
            </w:r>
          </w:p>
        </w:tc>
        <w:tc>
          <w:tcPr>
            <w:tcBorders>
              <w:right w:val="none"/>
            </w:tcBorders>
            <w:tcMar>
              <w:top w:type="dxa" w:w="80"/>
              <w:left w:type="dxa" w:w="120"/>
              <w:bottom w:type="dxa" w:w="80"/>
              <w:right w:type="dxa" w:w="120"/>
            </w:tcMar>
            <w:vAlign w:val="center"/>
          </w:tcPr>
          <w:p>
            <w:pPr>
              <w:pStyle w:val="MdTableCell"/>
            </w:pPr>
            <w:r>
              <w:t xml:space="preserve">UTMs, indicação e origem sobrevivem de “Baixar grátis” até o quiz, cadastro e acesso quando aplicável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CTAs repetidos</w:t>
            </w:r>
          </w:p>
        </w:tc>
        <w:tc>
          <w:tcPr>
            <w:tcBorders>
              <w:right w:val="none"/>
            </w:tcBorders>
            <w:tcMar>
              <w:top w:type="dxa" w:w="80"/>
              <w:left w:type="dxa" w:w="120"/>
              <w:bottom w:type="dxa" w:w="80"/>
              <w:right w:type="dxa" w:w="120"/>
            </w:tcMar>
            <w:vAlign w:val="center"/>
          </w:tcPr>
          <w:p>
            <w:pPr>
              <w:pStyle w:val="MdTableCell"/>
            </w:pPr>
            <w:r>
              <w:t xml:space="preserve">Hero, seção de planos, rodapé e menu utilizam a configuração correta quando aplicável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Carregamento inicial</w:t>
            </w:r>
          </w:p>
        </w:tc>
        <w:tc>
          <w:tcPr>
            <w:tcBorders>
              <w:right w:val="none"/>
            </w:tcBorders>
            <w:tcMar>
              <w:top w:type="dxa" w:w="80"/>
              <w:left w:type="dxa" w:w="120"/>
              <w:bottom w:type="dxa" w:w="80"/>
              <w:right w:type="dxa" w:w="120"/>
            </w:tcMar>
            <w:vAlign w:val="center"/>
          </w:tcPr>
          <w:p>
            <w:pPr>
              <w:pStyle w:val="MdTableCell"/>
            </w:pPr>
            <w:r>
              <w:t xml:space="preserve">Logo aparece durante inicialização real e desaparece após o conteúdo ficar pronto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Navegação interna</w:t>
            </w:r>
          </w:p>
        </w:tc>
        <w:tc>
          <w:tcPr>
            <w:tcBorders>
              <w:right w:val="none"/>
            </w:tcBorders>
            <w:tcMar>
              <w:top w:type="dxa" w:w="80"/>
              <w:left w:type="dxa" w:w="120"/>
              <w:bottom w:type="dxa" w:w="80"/>
              <w:right w:type="dxa" w:w="120"/>
            </w:tcMar>
            <w:vAlign w:val="center"/>
          </w:tcPr>
          <w:p>
            <w:pPr>
              <w:pStyle w:val="MdTableCell"/>
            </w:pPr>
            <w:r>
              <w:t xml:space="preserve">Logo aparece apenas quando há carregamento relevante, sem flash excessivo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Movimento reduzido</w:t>
            </w:r>
          </w:p>
        </w:tc>
        <w:tc>
          <w:tcPr>
            <w:tcBorders>
              <w:right w:val="none"/>
            </w:tcBorders>
            <w:tcMar>
              <w:top w:type="dxa" w:w="80"/>
              <w:left w:type="dxa" w:w="120"/>
              <w:bottom w:type="dxa" w:w="80"/>
              <w:right w:type="dxa" w:w="120"/>
            </w:tcMar>
            <w:vAlign w:val="center"/>
          </w:tcPr>
          <w:p>
            <w:pPr>
              <w:pStyle w:val="MdTableCell"/>
            </w:pPr>
            <w:r>
              <w:t xml:space="preserve">Loader respeita </w:t>
            </w:r>
            <w:r>
              <w:rPr>
                <w:rStyle w:val="MdCode"/>
                <w:u w:val="single"/>
              </w:rPr>
              <w:t xml:space="preserve">prefers-reduced-motion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Regressão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Rotas, autenticação, PWA, links, checkout, responsividade e build continuam funcionando</w:t>
            </w:r>
          </w:p>
        </w:tc>
      </w:tr>
    </w:tbl>
    <w:p>
      <w:pPr>
        <w:pStyle w:val="MdParagraph"/>
      </w:pPr>
      <w:r>
        <w:t xml:space="preserve">Se o projeto possuir framework de testes E2E, adicione testes para rótulos e destinos dos CTAs, e para o loader em navegação. Caso não possua, não introduza uma ferramenta grande sem justificativa; documente a validação manual reproduzível e cubra com os testes existentes que fizerem sentido.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Etapa 5 — Commits, CI e relatório final</w:t>
      </w:r>
    </w:p>
    <w:p>
      <w:pPr>
        <w:pStyle w:val="MdParagraph"/>
      </w:pPr>
      <w:r>
        <w:t xml:space="preserve">Faça commits pequenos, descritivos e reversíveis. Um exemplo de sequência é:</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chore: mapear CTAs e fonte de checkout da landing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fix: centralizar destinos e rótulos dos CTAs da landing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feat: exibir logo MeuCorre durante carregamentos reais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test: cobrir CTAs e estados de carregamento da landing</w:t>
      </w:r>
    </w:p>
    <w:p>
      <w:pPr>
        <w:pStyle w:val="MdSpace"/>
        <w:spacing w:before="0" w:after="60"/>
      </w:pPr>
    </w:p>
    <w:p>
      <w:pPr>
        <w:pStyle w:val="MdParagraph"/>
      </w:pPr>
      <w:r>
        <w:t xml:space="preserve">Adapte a convenção de commits do repositório. Não faça um único commit com mudanças não relacionadas. Nunca use </w:t>
      </w:r>
      <w:r>
        <w:rPr>
          <w:rStyle w:val="MdCode"/>
          <w:u w:val="single"/>
        </w:rPr>
        <w:t xml:space="preserve">--no-verify</w:t>
      </w:r>
      <w:r>
        <w:t xml:space="preserve">, nunca desabilite testes, nunca reduza a cobertura para obter CI verde e nunca mantenha o job dummy de CI no lugar de verificações reais quando a reativação do CI fizer parte da etapa aprovada.</w:t>
      </w:r>
    </w:p>
    <w:p>
      <w:pPr>
        <w:pStyle w:val="MdSpace"/>
        <w:spacing w:before="0" w:after="60"/>
      </w:pPr>
    </w:p>
    <w:p>
      <w:pPr>
        <w:pStyle w:val="MdParagraph"/>
      </w:pPr>
      <w:r>
        <w:t xml:space="preserve">No relatório final, entregue:</w:t>
      </w:r>
    </w:p>
    <w:p>
      <w:pPr>
        <w:pStyle w:val="MdSpace"/>
        <w:spacing w:before="0" w:after="60"/>
      </w:pPr>
    </w:p>
    <w:p>
      <w:pPr>
        <w:pStyle w:val="MdListItem"/>
        <w:numPr>
          <w:ilvl w:val="0"/>
          <w:numId w:val="2"/>
        </w:numPr>
      </w:pPr>
      <w:r>
        <w:t xml:space="preserve">Inventário dos CTAs antes/depois, com destino e arquivo responsável.</w:t>
      </w:r>
    </w:p>
    <w:p>
      <w:pPr>
        <w:pStyle w:val="MdListItem"/>
        <w:numPr>
          <w:ilvl w:val="0"/>
          <w:numId w:val="2"/>
        </w:numPr>
      </w:pPr>
      <w:r>
        <w:t xml:space="preserve">Evidência de validação dos links de Kiwify e explicação de qualquer divergência encontrada.</w:t>
      </w:r>
    </w:p>
    <w:p>
      <w:pPr>
        <w:pStyle w:val="MdListItem"/>
        <w:numPr>
          <w:ilvl w:val="0"/>
          <w:numId w:val="2"/>
        </w:numPr>
      </w:pPr>
      <w:r>
        <w:t xml:space="preserve">Lista de arquivos alterados e justificativa curta.</w:t>
      </w:r>
    </w:p>
    <w:p>
      <w:pPr>
        <w:pStyle w:val="MdListItem"/>
        <w:numPr>
          <w:ilvl w:val="0"/>
          <w:numId w:val="2"/>
        </w:numPr>
      </w:pPr>
      <w:r>
        <w:t xml:space="preserve">Resultado de cada comando executado pelo CLI.</w:t>
      </w:r>
    </w:p>
    <w:p>
      <w:pPr>
        <w:pStyle w:val="MdListItem"/>
        <w:numPr>
          <w:ilvl w:val="0"/>
          <w:numId w:val="2"/>
        </w:numPr>
      </w:pPr>
      <w:r>
        <w:t xml:space="preserve">Resultados de testes manuais em desktop/mobile e em rotas relevantes.</w:t>
      </w:r>
    </w:p>
    <w:p>
      <w:pPr>
        <w:pStyle w:val="MdListItem"/>
        <w:numPr>
          <w:ilvl w:val="0"/>
          <w:numId w:val="2"/>
        </w:numPr>
      </w:pPr>
      <w:r>
        <w:t xml:space="preserve">Hash e mensagem de cada commit criado.</w:t>
      </w:r>
    </w:p>
    <w:p>
      <w:pPr>
        <w:pStyle w:val="MdListItem"/>
        <w:numPr>
          <w:ilvl w:val="0"/>
          <w:numId w:val="2"/>
        </w:numPr>
      </w:pPr>
      <w:r>
        <w:t xml:space="preserve">Estado final do Git e status do CI disponível.</w:t>
      </w:r>
    </w:p>
    <w:p>
      <w:pPr>
        <w:pStyle w:val="MdListItem"/>
        <w:numPr>
          <w:ilvl w:val="0"/>
          <w:numId w:val="2"/>
        </w:numPr>
      </w:pPr>
      <w:r>
        <w:t xml:space="preserve">Riscos residuais e plano de rollback, se houver.</w:t>
      </w:r>
    </w:p>
    <w:p>
      <w:pPr>
        <w:pStyle w:val="MdSpace"/>
        <w:spacing w:before="0" w:after="60"/>
      </w:pPr>
    </w:p>
    <w:p>
      <w:pPr>
        <w:pStyle w:val="Heading2"/>
        <w:pStyle w:val="MdHeading2"/>
      </w:pPr>
      <w:r>
        <w:t xml:space="preserve">Critério final de aceite</w:t>
      </w:r>
    </w:p>
    <w:p>
      <w:pPr>
        <w:pStyle w:val="MdParagraph"/>
      </w:pPr>
      <w:r>
        <w:t xml:space="preserve">A tarefa só pode ser declarada concluída se todos os CTAs relevantes estiverem com rótulo, destino, preço e rastreamento corretos; a logo oficial for exibida em carregamentos reais sem prejudicar acessibilidade ou desempenho; todos os testes e o build passarem; o diff estiver limpo; e os commits estiverem verificados pelo CLI. Se algum item falhar, corrija, reteste e valide novamente antes de prosseguir.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2026-08-14T07:48:22.801Z</dcterms:created>
  <dcterms:modified xsi:type="dcterms:W3CDTF">2026-08-14T07:48:22.801Z</dcterms:modified>
</cp:coreProperties>
</file>

<file path=docProps/custom.xml><?xml version="1.0" encoding="utf-8"?>
<Properties xmlns="http://schemas.openxmlformats.org/officeDocument/2006/custom-properties" xmlns:vt="http://schemas.openxmlformats.org/officeDocument/2006/docPropsVTypes"/>
</file>