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智能仓储管理系统需求说明书</w:t>
      </w:r>
    </w:p>
    <w:p>
      <w:pPr>
        <w:pStyle w:val="Heading2"/>
        <w:spacing w:before="200" w:after="200"/>
      </w:pPr>
      <w:r>
        <w:t xml:space="preserve">1. 项目概述</w:t>
      </w:r>
    </w:p>
    <w:p>
      <w:pPr>
        <w:spacing w:after="200"/>
      </w:pPr>
      <w:r>
        <w:rPr>
          <w:sz w:val="24"/>
          <w:szCs w:val="24"/>
        </w:rPr>
        <w:t xml:space="preserve">本项目旨在为某制造企业开发一套智能仓储管理系统，实现从原材料入库到成品出库的全流程数字化管理。系统需要支持多仓库协同、实时库存监控、自动化盘点、智能补货建议等核心功能。</w:t>
      </w:r>
    </w:p>
    <w:p>
      <w:pPr>
        <w:pStyle w:val="Heading2"/>
        <w:spacing w:before="200" w:after="200"/>
      </w:pPr>
      <w:r>
        <w:t xml:space="preserve">2. 功能需求</w:t>
      </w:r>
    </w:p>
    <w:p>
      <w:pPr>
        <w:pStyle w:val="Heading3"/>
        <w:spacing w:before="100" w:after="100"/>
      </w:pPr>
      <w:r>
        <w:t xml:space="preserve">2.1 入库管理</w:t>
      </w:r>
    </w:p>
    <w:p>
      <w:pPr>
        <w:spacing w:after="100"/>
      </w:pPr>
      <w:r>
        <w:rPr>
          <w:sz w:val="24"/>
          <w:szCs w:val="24"/>
        </w:rPr>
        <w:t xml:space="preserve">FR-001：系统应支持扫码入库，支持一维码和二维码识别</w:t>
      </w:r>
    </w:p>
    <w:p>
      <w:pPr>
        <w:spacing w:after="100"/>
      </w:pPr>
      <w:r>
        <w:rPr>
          <w:sz w:val="24"/>
          <w:szCs w:val="24"/>
        </w:rPr>
        <w:t xml:space="preserve">FR-002：入库单自动生成，包含物料编码、数量、批次、供应商信息</w:t>
      </w:r>
    </w:p>
    <w:p>
      <w:pPr>
        <w:spacing w:after="200"/>
      </w:pPr>
      <w:r>
        <w:rPr>
          <w:sz w:val="24"/>
          <w:szCs w:val="24"/>
        </w:rPr>
        <w:t xml:space="preserve">FR-003：支持质检流程，不合格品自动隔离并生成退货单</w:t>
      </w:r>
    </w:p>
    <w:p>
      <w:pPr>
        <w:pStyle w:val="Heading3"/>
        <w:spacing w:before="100" w:after="100"/>
      </w:pPr>
      <w:r>
        <w:t xml:space="preserve">2.2 库存管理</w:t>
      </w:r>
    </w:p>
    <w:p>
      <w:pPr>
        <w:spacing w:after="100"/>
      </w:pPr>
      <w:r>
        <w:rPr>
          <w:sz w:val="24"/>
          <w:szCs w:val="24"/>
        </w:rPr>
        <w:t xml:space="preserve">FR-004：实时库存查询，支持按物料、仓库、批次多维度查询</w:t>
      </w:r>
    </w:p>
    <w:p>
      <w:pPr>
        <w:spacing w:after="100"/>
      </w:pPr>
      <w:r>
        <w:rPr>
          <w:sz w:val="24"/>
          <w:szCs w:val="24"/>
        </w:rPr>
        <w:t xml:space="preserve">FR-005：库存预警，当库存低于安全库存时自动发送补货提醒</w:t>
      </w:r>
    </w:p>
    <w:p>
      <w:pPr>
        <w:spacing w:after="200"/>
      </w:pPr>
      <w:r>
        <w:rPr>
          <w:sz w:val="24"/>
          <w:szCs w:val="24"/>
        </w:rPr>
        <w:t xml:space="preserve">FR-006：支持ABC分类管理，A类物料每日盘点，B类每周，C类每月</w:t>
      </w:r>
    </w:p>
    <w:p>
      <w:pPr>
        <w:pStyle w:val="Heading3"/>
        <w:spacing w:before="100" w:after="100"/>
      </w:pPr>
      <w:r>
        <w:t xml:space="preserve">2.3 出库管理</w:t>
      </w:r>
    </w:p>
    <w:p>
      <w:pPr>
        <w:spacing w:after="100"/>
      </w:pPr>
      <w:r>
        <w:rPr>
          <w:sz w:val="24"/>
          <w:szCs w:val="24"/>
        </w:rPr>
        <w:t xml:space="preserve">FR-007：支持按单出库、紧急出库、样品出库等多种出库类型</w:t>
      </w:r>
    </w:p>
    <w:p>
      <w:pPr>
        <w:spacing w:after="100"/>
      </w:pPr>
      <w:r>
        <w:rPr>
          <w:sz w:val="24"/>
          <w:szCs w:val="24"/>
        </w:rPr>
        <w:t xml:space="preserve">FR-008：出库单自动关联生产工单或销售订单</w:t>
      </w:r>
    </w:p>
    <w:p>
      <w:pPr>
        <w:spacing w:after="200"/>
      </w:pPr>
      <w:r>
        <w:rPr>
          <w:sz w:val="24"/>
          <w:szCs w:val="24"/>
        </w:rPr>
        <w:t xml:space="preserve">FR-009：支持先进先出（FIFO）和指定批次出库策略</w:t>
      </w:r>
    </w:p>
    <w:p>
      <w:pPr>
        <w:pStyle w:val="Heading2"/>
        <w:spacing w:before="200" w:after="200"/>
      </w:pPr>
      <w:r>
        <w:t xml:space="preserve">3. 非功能需求</w:t>
      </w:r>
    </w:p>
    <w:p>
      <w:pPr>
        <w:spacing w:after="100"/>
      </w:pPr>
      <w:r>
        <w:rPr>
          <w:sz w:val="24"/>
          <w:szCs w:val="24"/>
        </w:rPr>
        <w:t xml:space="preserve">NFR-001：系统响应时间 &lt; 2秒（95%请求）</w:t>
      </w:r>
    </w:p>
    <w:p>
      <w:pPr>
        <w:spacing w:after="100"/>
      </w:pPr>
      <w:r>
        <w:rPr>
          <w:sz w:val="24"/>
          <w:szCs w:val="24"/>
        </w:rPr>
        <w:t xml:space="preserve">NFR-002：支持并发用户数 ≥ 100</w:t>
      </w:r>
    </w:p>
    <w:p>
      <w:pPr>
        <w:spacing w:after="100"/>
      </w:pPr>
      <w:r>
        <w:rPr>
          <w:sz w:val="24"/>
          <w:szCs w:val="24"/>
        </w:rPr>
        <w:t xml:space="preserve">NFR-003：数据备份频率：每日全量 + 每小时增量</w:t>
      </w:r>
    </w:p>
    <w:p>
      <w:pPr>
        <w:spacing w:after="200"/>
      </w:pPr>
      <w:r>
        <w:rPr>
          <w:sz w:val="24"/>
          <w:szCs w:val="24"/>
        </w:rPr>
        <w:t xml:space="preserve">NFR-004：系统可用性 ≥ 99.5%</w:t>
      </w:r>
    </w:p>
    <w:p>
      <w:pPr>
        <w:pStyle w:val="Heading2"/>
        <w:spacing w:before="200" w:after="200"/>
      </w:pPr>
      <w:r>
        <w:t xml:space="preserve">4. 技术约束</w:t>
      </w:r>
    </w:p>
    <w:p>
      <w:pPr>
        <w:spacing w:after="100"/>
      </w:pPr>
      <w:r>
        <w:rPr>
          <w:sz w:val="24"/>
          <w:szCs w:val="24"/>
        </w:rPr>
        <w:t xml:space="preserve">TC-001：数据库采用 PostgreSQL 14+</w:t>
      </w:r>
    </w:p>
    <w:p>
      <w:pPr>
        <w:spacing w:after="100"/>
      </w:pPr>
      <w:r>
        <w:rPr>
          <w:sz w:val="24"/>
          <w:szCs w:val="24"/>
        </w:rPr>
        <w:t xml:space="preserve">TC-002：后端框架：Spring Boot 3.x</w:t>
      </w:r>
    </w:p>
    <w:p>
      <w:pPr>
        <w:spacing w:after="100"/>
      </w:pPr>
      <w:r>
        <w:rPr>
          <w:sz w:val="24"/>
          <w:szCs w:val="24"/>
        </w:rPr>
        <w:t xml:space="preserve">TC-003：前端框架：Vue 3 + TypeScript</w:t>
      </w:r>
    </w:p>
    <w:p>
      <w:pPr>
        <w:spacing w:after="200"/>
      </w:pPr>
      <w:r>
        <w:rPr>
          <w:sz w:val="24"/>
          <w:szCs w:val="24"/>
        </w:rPr>
        <w:t xml:space="preserve">TC-004：部署环境：Kubernetes + Docker</w:t>
      </w:r>
    </w:p>
    <w:p>
      <w:pPr>
        <w:pStyle w:val="Heading2"/>
        <w:spacing w:before="200" w:after="200"/>
      </w:pPr>
      <w:r>
        <w:t xml:space="preserve">5. 验收标准</w:t>
      </w:r>
    </w:p>
    <w:p>
      <w:pPr>
        <w:spacing w:after="100"/>
      </w:pPr>
      <w:r>
        <w:rPr>
          <w:sz w:val="24"/>
          <w:szCs w:val="24"/>
        </w:rPr>
        <w:t xml:space="preserve">AC-001：所有功能需求 100% 实现并通过测试</w:t>
      </w:r>
    </w:p>
    <w:p>
      <w:pPr>
        <w:spacing w:after="100"/>
      </w:pPr>
      <w:r>
        <w:rPr>
          <w:sz w:val="24"/>
          <w:szCs w:val="24"/>
        </w:rPr>
        <w:t xml:space="preserve">AC-002：性能测试达标（响应时间、并发数）</w:t>
      </w:r>
    </w:p>
    <w:p>
      <w:pPr>
        <w:spacing w:after="100"/>
      </w:pPr>
      <w:r>
        <w:rPr>
          <w:sz w:val="24"/>
          <w:szCs w:val="24"/>
        </w:rPr>
        <w:t xml:space="preserve">AC-003：用户验收测试通过率 ≥ 95%</w:t>
      </w:r>
    </w:p>
    <w:p>
      <w:pPr>
        <w:spacing w:after="200"/>
      </w:pPr>
      <w:r>
        <w:rPr>
          <w:sz w:val="24"/>
          <w:szCs w:val="24"/>
        </w:rPr>
        <w:t xml:space="preserve">AC-004：完成用户培训文档和操作手册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2026-10-14T12:53:02.186Z</dcterms:created>
  <dcterms:modified xsi:type="dcterms:W3CDTF">2026-10-14T12:53:02.187Z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