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B4410">
      <w:pPr>
        <w:spacing w:after="300"/>
        <w:jc w:val="center"/>
      </w:pPr>
      <w:r>
        <w:rPr>
          <w:b/>
          <w:bCs/>
          <w:color w:val="1F3864"/>
          <w:sz w:val="32"/>
          <w:szCs w:val="32"/>
        </w:rPr>
        <w:t>Solution Requirements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000"/>
      </w:tblGrid>
      <w:tr w14:paraId="263E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Pr>
          <w:p w14:paraId="2856BD70">
            <w:r>
              <w:rPr>
                <w:b/>
                <w:bCs/>
                <w:sz w:val="20"/>
                <w:szCs w:val="20"/>
              </w:rPr>
              <w:t>Date</w:t>
            </w:r>
          </w:p>
        </w:tc>
        <w:tc>
          <w:tcPr>
            <w:tcW w:w="7000" w:type="dxa"/>
          </w:tcPr>
          <w:p w14:paraId="0553DA3D">
            <w:r>
              <w:rPr>
                <w:rFonts w:hint="default"/>
                <w:sz w:val="20"/>
                <w:szCs w:val="20"/>
                <w:lang w:val="en-US"/>
              </w:rPr>
              <w:t>13</w:t>
            </w:r>
            <w:bookmarkStart w:id="0" w:name="_GoBack"/>
            <w:bookmarkEnd w:id="0"/>
            <w:r>
              <w:rPr>
                <w:rFonts w:hint="default"/>
                <w:sz w:val="20"/>
                <w:szCs w:val="20"/>
                <w:lang w:val="en-US"/>
              </w:rPr>
              <w:t xml:space="preserve"> </w:t>
            </w:r>
            <w:r>
              <w:rPr>
                <w:sz w:val="20"/>
                <w:szCs w:val="20"/>
              </w:rPr>
              <w:t>July 2026</w:t>
            </w:r>
          </w:p>
        </w:tc>
      </w:tr>
      <w:tr w14:paraId="77DE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Pr>
          <w:p w14:paraId="52A2D963">
            <w:r>
              <w:rPr>
                <w:b/>
                <w:bCs/>
                <w:sz w:val="20"/>
                <w:szCs w:val="20"/>
              </w:rPr>
              <w:t>Team ID</w:t>
            </w:r>
          </w:p>
        </w:tc>
        <w:tc>
          <w:tcPr>
            <w:tcW w:w="7000" w:type="dxa"/>
          </w:tcPr>
          <w:p w14:paraId="1C1D9B2B">
            <w:r>
              <w:rPr>
                <w:sz w:val="20"/>
                <w:szCs w:val="20"/>
              </w:rPr>
              <w:t>xxxxxx</w:t>
            </w:r>
          </w:p>
        </w:tc>
      </w:tr>
      <w:tr w14:paraId="08C3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Pr>
          <w:p w14:paraId="3E9387F0">
            <w:r>
              <w:rPr>
                <w:b/>
                <w:bCs/>
                <w:sz w:val="20"/>
                <w:szCs w:val="20"/>
              </w:rPr>
              <w:t>Project Name</w:t>
            </w:r>
          </w:p>
        </w:tc>
        <w:tc>
          <w:tcPr>
            <w:tcW w:w="7000" w:type="dxa"/>
          </w:tcPr>
          <w:p w14:paraId="4AA370F3">
            <w:r>
              <w:rPr>
                <w:sz w:val="20"/>
                <w:szCs w:val="20"/>
              </w:rPr>
              <w:t>Personalized Networking Assistant</w:t>
            </w:r>
          </w:p>
        </w:tc>
      </w:tr>
      <w:tr w14:paraId="3C43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Pr>
          <w:p w14:paraId="2497BA18">
            <w:r>
              <w:rPr>
                <w:b/>
                <w:bCs/>
                <w:sz w:val="20"/>
                <w:szCs w:val="20"/>
              </w:rPr>
              <w:t>Maximum Marks</w:t>
            </w:r>
          </w:p>
        </w:tc>
        <w:tc>
          <w:tcPr>
            <w:tcW w:w="7000" w:type="dxa"/>
          </w:tcPr>
          <w:p w14:paraId="15FF78BC">
            <w:r>
              <w:rPr>
                <w:sz w:val="20"/>
                <w:szCs w:val="20"/>
              </w:rPr>
              <w:t>4 Marks</w:t>
            </w:r>
          </w:p>
        </w:tc>
      </w:tr>
    </w:tbl>
    <w:p w14:paraId="053A74F0">
      <w:pPr>
        <w:spacing w:after="200"/>
      </w:pPr>
    </w:p>
    <w:p w14:paraId="38B4D10E">
      <w:pPr>
        <w:spacing w:after="150"/>
      </w:pPr>
      <w:r>
        <w:rPr>
          <w:b/>
          <w:bCs/>
          <w:sz w:val="22"/>
          <w:szCs w:val="22"/>
        </w:rPr>
        <w:t>Define Functional and Non-Functional Requirements</w:t>
      </w:r>
    </w:p>
    <w:p w14:paraId="034207E8">
      <w:pPr>
        <w:spacing w:after="200"/>
      </w:pPr>
      <w:r>
        <w:rPr>
          <w:sz w:val="20"/>
          <w:szCs w:val="20"/>
        </w:rPr>
        <w:t>This document sets out what the Personalized Networking Assistant does and how well it is expected to perform, split into functional behavior (what the system does) and non-functional criteria (how well it does it).</w:t>
      </w:r>
    </w:p>
    <w:p w14:paraId="192042D7">
      <w:pPr>
        <w:pStyle w:val="3"/>
        <w:spacing w:before="300" w:after="150"/>
      </w:pPr>
      <w:r>
        <w:rPr>
          <w:b/>
          <w:bCs/>
          <w:color w:val="1F3864"/>
          <w:sz w:val="26"/>
          <w:szCs w:val="26"/>
        </w:rPr>
        <w:t>Step 1: Functional Requirements (FR)</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900"/>
        <w:gridCol w:w="5200"/>
        <w:gridCol w:w="1800"/>
      </w:tblGrid>
      <w:tr w14:paraId="36E0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CE6F1"/>
            <w:vAlign w:val="center"/>
          </w:tcPr>
          <w:p w14:paraId="5BDE6046">
            <w:r>
              <w:rPr>
                <w:b/>
                <w:bCs/>
                <w:sz w:val="20"/>
                <w:szCs w:val="20"/>
              </w:rPr>
              <w:t>S.No</w:t>
            </w:r>
          </w:p>
        </w:tc>
        <w:tc>
          <w:tcPr>
            <w:tcW w:w="1900" w:type="dxa"/>
            <w:shd w:val="clear" w:color="auto" w:fill="DCE6F1"/>
            <w:vAlign w:val="center"/>
          </w:tcPr>
          <w:p w14:paraId="5AB38873">
            <w:r>
              <w:rPr>
                <w:b/>
                <w:bCs/>
                <w:sz w:val="20"/>
                <w:szCs w:val="20"/>
              </w:rPr>
              <w:t>Requirement Category</w:t>
            </w:r>
          </w:p>
        </w:tc>
        <w:tc>
          <w:tcPr>
            <w:tcW w:w="5200" w:type="dxa"/>
            <w:shd w:val="clear" w:color="auto" w:fill="DCE6F1"/>
            <w:vAlign w:val="center"/>
          </w:tcPr>
          <w:p w14:paraId="4D39D972">
            <w:r>
              <w:rPr>
                <w:b/>
                <w:bCs/>
                <w:sz w:val="20"/>
                <w:szCs w:val="20"/>
              </w:rPr>
              <w:t>Requirement Description</w:t>
            </w:r>
          </w:p>
        </w:tc>
        <w:tc>
          <w:tcPr>
            <w:tcW w:w="1800" w:type="dxa"/>
            <w:shd w:val="clear" w:color="auto" w:fill="DCE6F1"/>
            <w:vAlign w:val="center"/>
          </w:tcPr>
          <w:p w14:paraId="5946F93D">
            <w:r>
              <w:rPr>
                <w:b/>
                <w:bCs/>
                <w:sz w:val="20"/>
                <w:szCs w:val="20"/>
              </w:rPr>
              <w:t>Priority</w:t>
            </w:r>
          </w:p>
        </w:tc>
      </w:tr>
      <w:tr w14:paraId="0A32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6CE5B0F">
            <w:r>
              <w:rPr>
                <w:b w:val="0"/>
                <w:bCs w:val="0"/>
                <w:sz w:val="20"/>
                <w:szCs w:val="20"/>
              </w:rPr>
              <w:t>1</w:t>
            </w:r>
          </w:p>
        </w:tc>
        <w:tc>
          <w:tcPr>
            <w:tcW w:w="1900" w:type="dxa"/>
            <w:vAlign w:val="center"/>
          </w:tcPr>
          <w:p w14:paraId="3BE8526D">
            <w:r>
              <w:rPr>
                <w:b/>
                <w:bCs/>
                <w:sz w:val="20"/>
                <w:szCs w:val="20"/>
              </w:rPr>
              <w:t>Authentication</w:t>
            </w:r>
          </w:p>
        </w:tc>
        <w:tc>
          <w:tcPr>
            <w:tcW w:w="5200" w:type="dxa"/>
            <w:vAlign w:val="center"/>
          </w:tcPr>
          <w:p w14:paraId="7C179483">
            <w:r>
              <w:rPr>
                <w:b w:val="0"/>
                <w:bCs w:val="0"/>
                <w:sz w:val="20"/>
                <w:szCs w:val="20"/>
              </w:rPr>
              <w:t>No login or account creation is required. As an academic prototype meant for demonstration and evaluation, the assistant opens directly to its working screen for any visitor.</w:t>
            </w:r>
          </w:p>
        </w:tc>
        <w:tc>
          <w:tcPr>
            <w:tcW w:w="1800" w:type="dxa"/>
            <w:vAlign w:val="center"/>
          </w:tcPr>
          <w:p w14:paraId="7E6C5C9D">
            <w:r>
              <w:rPr>
                <w:b w:val="0"/>
                <w:bCs w:val="0"/>
                <w:sz w:val="20"/>
                <w:szCs w:val="20"/>
              </w:rPr>
              <w:t>Low</w:t>
            </w:r>
          </w:p>
        </w:tc>
      </w:tr>
      <w:tr w14:paraId="0F9F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C4BDA44">
            <w:r>
              <w:rPr>
                <w:b w:val="0"/>
                <w:bCs w:val="0"/>
                <w:sz w:val="20"/>
                <w:szCs w:val="20"/>
              </w:rPr>
              <w:t>2</w:t>
            </w:r>
          </w:p>
        </w:tc>
        <w:tc>
          <w:tcPr>
            <w:tcW w:w="1900" w:type="dxa"/>
            <w:vAlign w:val="center"/>
          </w:tcPr>
          <w:p w14:paraId="05955561">
            <w:r>
              <w:rPr>
                <w:b/>
                <w:bCs/>
                <w:sz w:val="20"/>
                <w:szCs w:val="20"/>
              </w:rPr>
              <w:t>Authorization Levels</w:t>
            </w:r>
          </w:p>
        </w:tc>
        <w:tc>
          <w:tcPr>
            <w:tcW w:w="5200" w:type="dxa"/>
            <w:vAlign w:val="center"/>
          </w:tcPr>
          <w:p w14:paraId="128D9161">
            <w:r>
              <w:rPr>
                <w:b w:val="0"/>
                <w:bCs w:val="0"/>
                <w:sz w:val="20"/>
                <w:szCs w:val="20"/>
              </w:rPr>
              <w:t>The application serves one user context at a time, so there is no concept of roles, permission tiers, or admin/user distinctions in this release.</w:t>
            </w:r>
          </w:p>
        </w:tc>
        <w:tc>
          <w:tcPr>
            <w:tcW w:w="1800" w:type="dxa"/>
            <w:vAlign w:val="center"/>
          </w:tcPr>
          <w:p w14:paraId="05B8A903">
            <w:r>
              <w:rPr>
                <w:b w:val="0"/>
                <w:bCs w:val="0"/>
                <w:sz w:val="20"/>
                <w:szCs w:val="20"/>
              </w:rPr>
              <w:t>Low</w:t>
            </w:r>
          </w:p>
        </w:tc>
      </w:tr>
      <w:tr w14:paraId="2A67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716B8CD">
            <w:r>
              <w:rPr>
                <w:b w:val="0"/>
                <w:bCs w:val="0"/>
                <w:sz w:val="20"/>
                <w:szCs w:val="20"/>
              </w:rPr>
              <w:t>3</w:t>
            </w:r>
          </w:p>
        </w:tc>
        <w:tc>
          <w:tcPr>
            <w:tcW w:w="1900" w:type="dxa"/>
            <w:vAlign w:val="center"/>
          </w:tcPr>
          <w:p w14:paraId="5E62CE64">
            <w:r>
              <w:rPr>
                <w:b/>
                <w:bCs/>
                <w:sz w:val="20"/>
                <w:szCs w:val="20"/>
              </w:rPr>
              <w:t>External Interfaces</w:t>
            </w:r>
          </w:p>
        </w:tc>
        <w:tc>
          <w:tcPr>
            <w:tcW w:w="5200" w:type="dxa"/>
            <w:vAlign w:val="center"/>
          </w:tcPr>
          <w:p w14:paraId="705369E4">
            <w:r>
              <w:rPr>
                <w:b w:val="0"/>
                <w:bCs w:val="0"/>
                <w:sz w:val="20"/>
                <w:szCs w:val="20"/>
              </w:rPr>
              <w:t>Two categories of outside services are consumed: the Wikipedia REST API for grounding facts, and Hugging Face transformer models (DistilBERT for zero-shot topic extraction, GPT-2 for conversation-starter generation) for language understanding and generation.</w:t>
            </w:r>
          </w:p>
        </w:tc>
        <w:tc>
          <w:tcPr>
            <w:tcW w:w="1800" w:type="dxa"/>
            <w:vAlign w:val="center"/>
          </w:tcPr>
          <w:p w14:paraId="639E3BBF">
            <w:r>
              <w:rPr>
                <w:b w:val="0"/>
                <w:bCs w:val="0"/>
                <w:sz w:val="20"/>
                <w:szCs w:val="20"/>
              </w:rPr>
              <w:t>High</w:t>
            </w:r>
          </w:p>
        </w:tc>
      </w:tr>
      <w:tr w14:paraId="6EE7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771D158">
            <w:r>
              <w:rPr>
                <w:b w:val="0"/>
                <w:bCs w:val="0"/>
                <w:sz w:val="20"/>
                <w:szCs w:val="20"/>
              </w:rPr>
              <w:t>4</w:t>
            </w:r>
          </w:p>
        </w:tc>
        <w:tc>
          <w:tcPr>
            <w:tcW w:w="1900" w:type="dxa"/>
            <w:vAlign w:val="center"/>
          </w:tcPr>
          <w:p w14:paraId="7D4F6314">
            <w:r>
              <w:rPr>
                <w:b/>
                <w:bCs/>
                <w:sz w:val="20"/>
                <w:szCs w:val="20"/>
              </w:rPr>
              <w:t>Transaction Processing</w:t>
            </w:r>
          </w:p>
        </w:tc>
        <w:tc>
          <w:tcPr>
            <w:tcW w:w="5200" w:type="dxa"/>
            <w:vAlign w:val="center"/>
          </w:tcPr>
          <w:p w14:paraId="1C0E1D5C">
            <w:r>
              <w:rPr>
                <w:b w:val="0"/>
                <w:bCs w:val="0"/>
                <w:sz w:val="20"/>
                <w:szCs w:val="20"/>
              </w:rPr>
              <w:t>A user submits an event name, their role, and a set of interests; the backend pipeline extracts themes, produces tailored conversation openers, cross-checks relevant facts against Wikipedia, and persists both the session and any feedback to local JSON files.</w:t>
            </w:r>
          </w:p>
        </w:tc>
        <w:tc>
          <w:tcPr>
            <w:tcW w:w="1800" w:type="dxa"/>
            <w:vAlign w:val="center"/>
          </w:tcPr>
          <w:p w14:paraId="2334FFB6">
            <w:r>
              <w:rPr>
                <w:b w:val="0"/>
                <w:bCs w:val="0"/>
                <w:sz w:val="20"/>
                <w:szCs w:val="20"/>
              </w:rPr>
              <w:t>High</w:t>
            </w:r>
          </w:p>
        </w:tc>
      </w:tr>
      <w:tr w14:paraId="6055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6AF781B1">
            <w:r>
              <w:rPr>
                <w:b w:val="0"/>
                <w:bCs w:val="0"/>
                <w:sz w:val="20"/>
                <w:szCs w:val="20"/>
              </w:rPr>
              <w:t>5</w:t>
            </w:r>
          </w:p>
        </w:tc>
        <w:tc>
          <w:tcPr>
            <w:tcW w:w="1900" w:type="dxa"/>
            <w:vAlign w:val="center"/>
          </w:tcPr>
          <w:p w14:paraId="016AFB8A">
            <w:r>
              <w:rPr>
                <w:b/>
                <w:bCs/>
                <w:sz w:val="20"/>
                <w:szCs w:val="20"/>
              </w:rPr>
              <w:t>Reporting</w:t>
            </w:r>
          </w:p>
        </w:tc>
        <w:tc>
          <w:tcPr>
            <w:tcW w:w="5200" w:type="dxa"/>
            <w:vAlign w:val="center"/>
          </w:tcPr>
          <w:p w14:paraId="338F19D3">
            <w:r>
              <w:rPr>
                <w:b w:val="0"/>
                <w:bCs w:val="0"/>
                <w:sz w:val="20"/>
                <w:szCs w:val="20"/>
              </w:rPr>
              <w:t>Users can browse a running log of past sessions, including the conversation starters generated and any feedback they previously submitted, directly within the interface.</w:t>
            </w:r>
          </w:p>
        </w:tc>
        <w:tc>
          <w:tcPr>
            <w:tcW w:w="1800" w:type="dxa"/>
            <w:vAlign w:val="center"/>
          </w:tcPr>
          <w:p w14:paraId="5E75DFD1">
            <w:r>
              <w:rPr>
                <w:b w:val="0"/>
                <w:bCs w:val="0"/>
                <w:sz w:val="20"/>
                <w:szCs w:val="20"/>
              </w:rPr>
              <w:t>Medium</w:t>
            </w:r>
          </w:p>
        </w:tc>
      </w:tr>
      <w:tr w14:paraId="602F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140A759">
            <w:r>
              <w:rPr>
                <w:b w:val="0"/>
                <w:bCs w:val="0"/>
                <w:sz w:val="20"/>
                <w:szCs w:val="20"/>
              </w:rPr>
              <w:t>6</w:t>
            </w:r>
          </w:p>
        </w:tc>
        <w:tc>
          <w:tcPr>
            <w:tcW w:w="1900" w:type="dxa"/>
            <w:vAlign w:val="center"/>
          </w:tcPr>
          <w:p w14:paraId="45C8A1F1">
            <w:r>
              <w:rPr>
                <w:b/>
                <w:bCs/>
                <w:sz w:val="20"/>
                <w:szCs w:val="20"/>
              </w:rPr>
              <w:t>Business Rules</w:t>
            </w:r>
          </w:p>
        </w:tc>
        <w:tc>
          <w:tcPr>
            <w:tcW w:w="5200" w:type="dxa"/>
            <w:vAlign w:val="center"/>
          </w:tcPr>
          <w:p w14:paraId="000A22BF">
            <w:r>
              <w:rPr>
                <w:b w:val="0"/>
                <w:bCs w:val="0"/>
                <w:sz w:val="20"/>
                <w:szCs w:val="20"/>
              </w:rPr>
              <w:t>Every generated conversation starter must be traceable to the specific event, role, and interests supplied for that session, and any fact shown to the user must originate from Wikipedia rather than the model's own generation.</w:t>
            </w:r>
          </w:p>
        </w:tc>
        <w:tc>
          <w:tcPr>
            <w:tcW w:w="1800" w:type="dxa"/>
            <w:vAlign w:val="center"/>
          </w:tcPr>
          <w:p w14:paraId="5847EA2C">
            <w:r>
              <w:rPr>
                <w:b w:val="0"/>
                <w:bCs w:val="0"/>
                <w:sz w:val="20"/>
                <w:szCs w:val="20"/>
              </w:rPr>
              <w:t>High</w:t>
            </w:r>
          </w:p>
        </w:tc>
      </w:tr>
      <w:tr w14:paraId="3E9C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064A8277">
            <w:r>
              <w:rPr>
                <w:b w:val="0"/>
                <w:bCs w:val="0"/>
                <w:sz w:val="20"/>
                <w:szCs w:val="20"/>
              </w:rPr>
              <w:t>7</w:t>
            </w:r>
          </w:p>
        </w:tc>
        <w:tc>
          <w:tcPr>
            <w:tcW w:w="1900" w:type="dxa"/>
            <w:vAlign w:val="center"/>
          </w:tcPr>
          <w:p w14:paraId="1B611D47">
            <w:r>
              <w:rPr>
                <w:b/>
                <w:bCs/>
                <w:sz w:val="20"/>
                <w:szCs w:val="20"/>
              </w:rPr>
              <w:t>Compliance to Laws or Regulations</w:t>
            </w:r>
          </w:p>
        </w:tc>
        <w:tc>
          <w:tcPr>
            <w:tcW w:w="5200" w:type="dxa"/>
            <w:vAlign w:val="center"/>
          </w:tcPr>
          <w:p w14:paraId="68F4553D">
            <w:r>
              <w:rPr>
                <w:b w:val="0"/>
                <w:bCs w:val="0"/>
                <w:sz w:val="20"/>
                <w:szCs w:val="20"/>
              </w:rPr>
              <w:t>All data stays on the local file system; the system does not request or retain sensitive personal identifiers, keeping it aligned with basic data-minimization practice suitable for a student project.</w:t>
            </w:r>
          </w:p>
        </w:tc>
        <w:tc>
          <w:tcPr>
            <w:tcW w:w="1800" w:type="dxa"/>
            <w:vAlign w:val="center"/>
          </w:tcPr>
          <w:p w14:paraId="43D3D997">
            <w:r>
              <w:rPr>
                <w:b w:val="0"/>
                <w:bCs w:val="0"/>
                <w:sz w:val="20"/>
                <w:szCs w:val="20"/>
              </w:rPr>
              <w:t>Medium</w:t>
            </w:r>
          </w:p>
        </w:tc>
      </w:tr>
      <w:tr w14:paraId="525C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6077488">
            <w:r>
              <w:rPr>
                <w:b w:val="0"/>
                <w:bCs w:val="0"/>
                <w:sz w:val="20"/>
                <w:szCs w:val="20"/>
              </w:rPr>
              <w:t>8</w:t>
            </w:r>
          </w:p>
        </w:tc>
        <w:tc>
          <w:tcPr>
            <w:tcW w:w="1900" w:type="dxa"/>
            <w:vAlign w:val="center"/>
          </w:tcPr>
          <w:p w14:paraId="5DD7261B">
            <w:r>
              <w:rPr>
                <w:b/>
                <w:bCs/>
                <w:sz w:val="20"/>
                <w:szCs w:val="20"/>
              </w:rPr>
              <w:t>Other</w:t>
            </w:r>
          </w:p>
        </w:tc>
        <w:tc>
          <w:tcPr>
            <w:tcW w:w="5200" w:type="dxa"/>
            <w:vAlign w:val="center"/>
          </w:tcPr>
          <w:p w14:paraId="56F6FB6A">
            <w:r>
              <w:rPr>
                <w:b w:val="0"/>
                <w:bCs w:val="0"/>
                <w:sz w:val="20"/>
                <w:szCs w:val="20"/>
              </w:rPr>
              <w:t>The codebase separates concerns into distinct services (event analysis, generation, fact-checking, feedback) behind a FastAPI backend and a Streamlit front end, so any one piece can be swapped or extended without reworking the rest.</w:t>
            </w:r>
          </w:p>
        </w:tc>
        <w:tc>
          <w:tcPr>
            <w:tcW w:w="1800" w:type="dxa"/>
            <w:vAlign w:val="center"/>
          </w:tcPr>
          <w:p w14:paraId="46107848">
            <w:r>
              <w:rPr>
                <w:b w:val="0"/>
                <w:bCs w:val="0"/>
                <w:sz w:val="20"/>
                <w:szCs w:val="20"/>
              </w:rPr>
              <w:t>Medium</w:t>
            </w:r>
          </w:p>
        </w:tc>
      </w:tr>
    </w:tbl>
    <w:p w14:paraId="4F9FFCC8">
      <w:pPr>
        <w:spacing w:after="200"/>
      </w:pPr>
    </w:p>
    <w:p w14:paraId="04E7D33F">
      <w:pPr>
        <w:pStyle w:val="3"/>
        <w:spacing w:before="300" w:after="150"/>
      </w:pPr>
      <w:r>
        <w:rPr>
          <w:b/>
          <w:bCs/>
          <w:color w:val="1F3864"/>
          <w:sz w:val="26"/>
          <w:szCs w:val="26"/>
        </w:rPr>
        <w:t>Step 2: Non-Functional Requirements (NFR)</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900"/>
        <w:gridCol w:w="5200"/>
        <w:gridCol w:w="1800"/>
      </w:tblGrid>
      <w:tr w14:paraId="6E7D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CE6F1"/>
            <w:vAlign w:val="center"/>
          </w:tcPr>
          <w:p w14:paraId="71C84829">
            <w:r>
              <w:rPr>
                <w:b/>
                <w:bCs/>
                <w:sz w:val="20"/>
                <w:szCs w:val="20"/>
              </w:rPr>
              <w:t>S.No</w:t>
            </w:r>
          </w:p>
        </w:tc>
        <w:tc>
          <w:tcPr>
            <w:tcW w:w="1900" w:type="dxa"/>
            <w:shd w:val="clear" w:color="auto" w:fill="DCE6F1"/>
            <w:vAlign w:val="center"/>
          </w:tcPr>
          <w:p w14:paraId="56B0DB04">
            <w:r>
              <w:rPr>
                <w:b/>
                <w:bCs/>
                <w:sz w:val="20"/>
                <w:szCs w:val="20"/>
              </w:rPr>
              <w:t>NFR Category</w:t>
            </w:r>
          </w:p>
        </w:tc>
        <w:tc>
          <w:tcPr>
            <w:tcW w:w="5200" w:type="dxa"/>
            <w:shd w:val="clear" w:color="auto" w:fill="DCE6F1"/>
            <w:vAlign w:val="center"/>
          </w:tcPr>
          <w:p w14:paraId="214ECCD1">
            <w:r>
              <w:rPr>
                <w:b/>
                <w:bCs/>
                <w:sz w:val="20"/>
                <w:szCs w:val="20"/>
              </w:rPr>
              <w:t>Requirement Description</w:t>
            </w:r>
          </w:p>
        </w:tc>
        <w:tc>
          <w:tcPr>
            <w:tcW w:w="1800" w:type="dxa"/>
            <w:shd w:val="clear" w:color="auto" w:fill="DCE6F1"/>
            <w:vAlign w:val="center"/>
          </w:tcPr>
          <w:p w14:paraId="11EB2AC5">
            <w:r>
              <w:rPr>
                <w:b/>
                <w:bCs/>
                <w:sz w:val="20"/>
                <w:szCs w:val="20"/>
              </w:rPr>
              <w:t>Target Metric / Acceptance Criteria</w:t>
            </w:r>
          </w:p>
        </w:tc>
      </w:tr>
      <w:tr w14:paraId="470F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294EE5D">
            <w:r>
              <w:rPr>
                <w:b w:val="0"/>
                <w:bCs w:val="0"/>
                <w:sz w:val="20"/>
                <w:szCs w:val="20"/>
              </w:rPr>
              <w:t>1</w:t>
            </w:r>
          </w:p>
        </w:tc>
        <w:tc>
          <w:tcPr>
            <w:tcW w:w="1900" w:type="dxa"/>
            <w:vAlign w:val="center"/>
          </w:tcPr>
          <w:p w14:paraId="0C72A60C">
            <w:r>
              <w:rPr>
                <w:b/>
                <w:bCs/>
                <w:sz w:val="20"/>
                <w:szCs w:val="20"/>
              </w:rPr>
              <w:t>Performance &amp; Speed</w:t>
            </w:r>
          </w:p>
        </w:tc>
        <w:tc>
          <w:tcPr>
            <w:tcW w:w="5200" w:type="dxa"/>
            <w:vAlign w:val="center"/>
          </w:tcPr>
          <w:p w14:paraId="25AC813D">
            <w:r>
              <w:rPr>
                <w:b w:val="0"/>
                <w:bCs w:val="0"/>
                <w:sz w:val="20"/>
                <w:szCs w:val="20"/>
              </w:rPr>
              <w:t>Theme extraction, conversation generation, and fact-checking should feel responsive rather than batch-like, with no step making the user wait noticeably longer than the others.</w:t>
            </w:r>
          </w:p>
        </w:tc>
        <w:tc>
          <w:tcPr>
            <w:tcW w:w="1800" w:type="dxa"/>
            <w:vAlign w:val="center"/>
          </w:tcPr>
          <w:p w14:paraId="31B92BD0">
            <w:r>
              <w:rPr>
                <w:b w:val="0"/>
                <w:bCs w:val="0"/>
                <w:sz w:val="20"/>
                <w:szCs w:val="20"/>
              </w:rPr>
              <w:t>End-to-end response returned within 5-10 seconds per request.</w:t>
            </w:r>
          </w:p>
        </w:tc>
      </w:tr>
      <w:tr w14:paraId="1288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6DE5106F">
            <w:r>
              <w:rPr>
                <w:b w:val="0"/>
                <w:bCs w:val="0"/>
                <w:sz w:val="20"/>
                <w:szCs w:val="20"/>
              </w:rPr>
              <w:t>2</w:t>
            </w:r>
          </w:p>
        </w:tc>
        <w:tc>
          <w:tcPr>
            <w:tcW w:w="1900" w:type="dxa"/>
            <w:vAlign w:val="center"/>
          </w:tcPr>
          <w:p w14:paraId="79DC1020">
            <w:r>
              <w:rPr>
                <w:b/>
                <w:bCs/>
                <w:sz w:val="20"/>
                <w:szCs w:val="20"/>
              </w:rPr>
              <w:t>Scalability</w:t>
            </w:r>
          </w:p>
        </w:tc>
        <w:tc>
          <w:tcPr>
            <w:tcW w:w="5200" w:type="dxa"/>
            <w:vAlign w:val="center"/>
          </w:tcPr>
          <w:p w14:paraId="438C8E61">
            <w:r>
              <w:rPr>
                <w:b w:val="0"/>
                <w:bCs w:val="0"/>
                <w:sz w:val="20"/>
                <w:szCs w:val="20"/>
              </w:rPr>
              <w:t>The service-oriented layout should let new models, a proper database, or multiple concurrent users be added later without a rewrite of the core architecture.</w:t>
            </w:r>
          </w:p>
        </w:tc>
        <w:tc>
          <w:tcPr>
            <w:tcW w:w="1800" w:type="dxa"/>
            <w:vAlign w:val="center"/>
          </w:tcPr>
          <w:p w14:paraId="0669691E">
            <w:r>
              <w:rPr>
                <w:b w:val="0"/>
                <w:bCs w:val="0"/>
                <w:sz w:val="20"/>
                <w:szCs w:val="20"/>
              </w:rPr>
              <w:t>Modular design ready to support future multi-user deployment.</w:t>
            </w:r>
          </w:p>
        </w:tc>
      </w:tr>
      <w:tr w14:paraId="18FC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A894805">
            <w:r>
              <w:rPr>
                <w:b w:val="0"/>
                <w:bCs w:val="0"/>
                <w:sz w:val="20"/>
                <w:szCs w:val="20"/>
              </w:rPr>
              <w:t>3</w:t>
            </w:r>
          </w:p>
        </w:tc>
        <w:tc>
          <w:tcPr>
            <w:tcW w:w="1900" w:type="dxa"/>
            <w:vAlign w:val="center"/>
          </w:tcPr>
          <w:p w14:paraId="7E83822D">
            <w:r>
              <w:rPr>
                <w:b/>
                <w:bCs/>
                <w:sz w:val="20"/>
                <w:szCs w:val="20"/>
              </w:rPr>
              <w:t>Security &amp; Data Privacy</w:t>
            </w:r>
          </w:p>
        </w:tc>
        <w:tc>
          <w:tcPr>
            <w:tcW w:w="5200" w:type="dxa"/>
            <w:vAlign w:val="center"/>
          </w:tcPr>
          <w:p w14:paraId="5C99936F">
            <w:r>
              <w:rPr>
                <w:b w:val="0"/>
                <w:bCs w:val="0"/>
                <w:sz w:val="20"/>
                <w:szCs w:val="20"/>
              </w:rPr>
              <w:t>Session details, interests, history, and feedback are kept on the local machine, and no sensitive personal data is passed to any external service.</w:t>
            </w:r>
          </w:p>
        </w:tc>
        <w:tc>
          <w:tcPr>
            <w:tcW w:w="1800" w:type="dxa"/>
            <w:vAlign w:val="center"/>
          </w:tcPr>
          <w:p w14:paraId="22E6BB60">
            <w:r>
              <w:rPr>
                <w:b w:val="0"/>
                <w:bCs w:val="0"/>
                <w:sz w:val="20"/>
                <w:szCs w:val="20"/>
              </w:rPr>
              <w:t>Local JSON persistence with validated inputs and secure API calls.</w:t>
            </w:r>
          </w:p>
        </w:tc>
      </w:tr>
      <w:tr w14:paraId="11A2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C80B5D5">
            <w:r>
              <w:rPr>
                <w:b w:val="0"/>
                <w:bCs w:val="0"/>
                <w:sz w:val="20"/>
                <w:szCs w:val="20"/>
              </w:rPr>
              <w:t>4</w:t>
            </w:r>
          </w:p>
        </w:tc>
        <w:tc>
          <w:tcPr>
            <w:tcW w:w="1900" w:type="dxa"/>
            <w:vAlign w:val="center"/>
          </w:tcPr>
          <w:p w14:paraId="560205E3">
            <w:r>
              <w:rPr>
                <w:b/>
                <w:bCs/>
                <w:sz w:val="20"/>
                <w:szCs w:val="20"/>
              </w:rPr>
              <w:t>Reliability &amp; Availability</w:t>
            </w:r>
          </w:p>
        </w:tc>
        <w:tc>
          <w:tcPr>
            <w:tcW w:w="5200" w:type="dxa"/>
            <w:vAlign w:val="center"/>
          </w:tcPr>
          <w:p w14:paraId="4BEEE0F9">
            <w:r>
              <w:rPr>
                <w:b w:val="0"/>
                <w:bCs w:val="0"/>
                <w:sz w:val="20"/>
                <w:szCs w:val="20"/>
              </w:rPr>
              <w:t>The app should keep functioning through generation, fact-checking, and storage steps even when a user provides malformed or unexpected input, rather than crashing.</w:t>
            </w:r>
          </w:p>
        </w:tc>
        <w:tc>
          <w:tcPr>
            <w:tcW w:w="1800" w:type="dxa"/>
            <w:vAlign w:val="center"/>
          </w:tcPr>
          <w:p w14:paraId="78C9491A">
            <w:r>
              <w:rPr>
                <w:b w:val="0"/>
                <w:bCs w:val="0"/>
                <w:sz w:val="20"/>
                <w:szCs w:val="20"/>
              </w:rPr>
              <w:t>99% of valid requests complete successfully with graceful error handling.</w:t>
            </w:r>
          </w:p>
        </w:tc>
      </w:tr>
      <w:tr w14:paraId="429A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181D4B7B">
            <w:r>
              <w:rPr>
                <w:b w:val="0"/>
                <w:bCs w:val="0"/>
                <w:sz w:val="20"/>
                <w:szCs w:val="20"/>
              </w:rPr>
              <w:t>5</w:t>
            </w:r>
          </w:p>
        </w:tc>
        <w:tc>
          <w:tcPr>
            <w:tcW w:w="1900" w:type="dxa"/>
            <w:vAlign w:val="center"/>
          </w:tcPr>
          <w:p w14:paraId="3DD0F5FF">
            <w:r>
              <w:rPr>
                <w:b/>
                <w:bCs/>
                <w:sz w:val="20"/>
                <w:szCs w:val="20"/>
              </w:rPr>
              <w:t>Usability &amp; Accessibility</w:t>
            </w:r>
          </w:p>
        </w:tc>
        <w:tc>
          <w:tcPr>
            <w:tcW w:w="5200" w:type="dxa"/>
            <w:vAlign w:val="center"/>
          </w:tcPr>
          <w:p w14:paraId="6CFC1CE8">
            <w:r>
              <w:rPr>
                <w:b w:val="0"/>
                <w:bCs w:val="0"/>
                <w:sz w:val="20"/>
                <w:szCs w:val="20"/>
              </w:rPr>
              <w:t>Anyone -- student or professional, technical or not -- should be able to run through the whole flow without instructions or prior AI/ML background.</w:t>
            </w:r>
          </w:p>
        </w:tc>
        <w:tc>
          <w:tcPr>
            <w:tcW w:w="1800" w:type="dxa"/>
            <w:vAlign w:val="center"/>
          </w:tcPr>
          <w:p w14:paraId="7EAAAC98">
            <w:r>
              <w:rPr>
                <w:b w:val="0"/>
                <w:bCs w:val="0"/>
                <w:sz w:val="20"/>
                <w:szCs w:val="20"/>
              </w:rPr>
              <w:t>Full conversation-generation flow completable in 3 steps or fewer.</w:t>
            </w:r>
          </w:p>
        </w:tc>
      </w:tr>
      <w:tr w14:paraId="141D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0F06B780">
            <w:r>
              <w:rPr>
                <w:b w:val="0"/>
                <w:bCs w:val="0"/>
                <w:sz w:val="20"/>
                <w:szCs w:val="20"/>
              </w:rPr>
              <w:t>6</w:t>
            </w:r>
          </w:p>
        </w:tc>
        <w:tc>
          <w:tcPr>
            <w:tcW w:w="1900" w:type="dxa"/>
            <w:vAlign w:val="center"/>
          </w:tcPr>
          <w:p w14:paraId="59FC1D74">
            <w:r>
              <w:rPr>
                <w:b/>
                <w:bCs/>
                <w:sz w:val="20"/>
                <w:szCs w:val="20"/>
              </w:rPr>
              <w:t>Other</w:t>
            </w:r>
          </w:p>
        </w:tc>
        <w:tc>
          <w:tcPr>
            <w:tcW w:w="5200" w:type="dxa"/>
            <w:vAlign w:val="center"/>
          </w:tcPr>
          <w:p w14:paraId="51AA8D11">
            <w:r>
              <w:rPr>
                <w:b w:val="0"/>
                <w:bCs w:val="0"/>
                <w:sz w:val="20"/>
                <w:szCs w:val="20"/>
              </w:rPr>
              <w:t>Keeping the Event Analyzer, Topic Generator, Fact Checker, and Feedback Manager as independent modules should make it easy to update one without breaking the others.</w:t>
            </w:r>
          </w:p>
        </w:tc>
        <w:tc>
          <w:tcPr>
            <w:tcW w:w="1800" w:type="dxa"/>
            <w:vAlign w:val="center"/>
          </w:tcPr>
          <w:p w14:paraId="0B2D4333">
            <w:r>
              <w:rPr>
                <w:b w:val="0"/>
                <w:bCs w:val="0"/>
                <w:sz w:val="20"/>
                <w:szCs w:val="20"/>
              </w:rPr>
              <w:t>Clean, modular codebase that supports easy maintenance and reuse.</w:t>
            </w:r>
          </w:p>
        </w:tc>
      </w:tr>
    </w:tbl>
    <w:p w14:paraId="4F6E3052"/>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7EB3B36"/>
    <w:rsid w:val="617575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2026-07-13T12:58:00Z</dcterms:created>
  <dc:creator>Un-named</dc:creator>
  <cp:lastModifiedBy>Lokesh engeering</cp:lastModifiedBy>
  <dcterms:modified xsi:type="dcterms:W3CDTF">2026-07-14T00:38:31Z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6583591F1C48474C85EE1BDDBD7EF37F_12</vt:lpwstr>
  </property>
</Properties>
</file>