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Overpass-Turbo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Exemple: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This has been generated by the overpass-turbo wizard.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 original search was: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“leisure=sports_centre in Bordeaux”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[out:json][timeout:25];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// fetch area “Bordeaux” to search in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area(3600105270)-&gt;.searchArea;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// gather results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// query part for: “leisure=sports_centre”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node["leisure"="sports_centre"](area.searchArea);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way["leisure"="sports_centre"](area.searchArea);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relation["leisure"="sports_centre"](area.searchArea);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relation["boundary"="administrative"]["admin_level"="8"]["name:fr"="Bordeaux"];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// print results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out body;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&gt;;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out skel qt;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Puis utilisation d’un convertisseur en ligne GeoJson --&gt; CSV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NosDéputés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Vérification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Maximum; minimum; moyenne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Députés à participation nulle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Députés a participation impossiblement haute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Formatage conditionnel pour identifier cases vides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=IF(COUNTA(IFERROR(FILTER('départements_edition'!$C$2:$C$102 ; 'départements_edition'!$C$2:$C$102=J11 ) ) ) ; "Oui" ; "Non" 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Rougeole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Recherche Google: nombre de cas de rougeole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http://invs.santepubliquefrance.fr/Dossiers-thematiques/Maladies-infectieuses/Maladies-a-prevention-vaccinale/Rougeole/Points-d-actualites/Archives/Epidemie-de-rougeole-en-France.-Actualisation-des-donnees-de-surveillance-au-22-mai-2017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http://invs.santepubliquefrance.fr/Dossiers-thematiques/Maladies-infectieuses/Maladies-a-prevention-vaccinale/Couverture-vaccinale/Donnees/Rougeole-rubeole-oreillons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France vs UE:</w:t>
      </w:r>
    </w:p>
    <w:p w:rsidR="00000000" w:rsidDel="00000000" w:rsidP="00000000" w:rsidRDefault="00000000" w:rsidRPr="00000000" w14:paraId="0000002D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https://data.oecd.org/fr/healthcare/taux-de-vaccination-des-enfants.htm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Vérifier le taux nécessaire de vacination sur le site de l’OMS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comparaison nombre de cas et taux de vaccination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http://invs.santepubliquefrance.fr/Espace-professionnels/Maladies-a-declaration-obligatoire/Le-retour-d-information-et-l-acces-aux-bases-de-donnees</w:t>
        </w:r>
      </w:hyperlink>
      <w:r w:rsidDel="00000000" w:rsidR="00000000" w:rsidRPr="00000000">
        <w:rPr>
          <w:rtl w:val="0"/>
        </w:rPr>
        <w:t xml:space="preserve"> (ne fonctionne 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fr_CA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oecd.org/fr/healthcare/taux-de-vaccination-des-enfants.htm" TargetMode="External"/><Relationship Id="rId7" Type="http://schemas.openxmlformats.org/officeDocument/2006/relationships/hyperlink" Target="http://invs.santepubliquefrance.fr/Espace-professionnels/Maladies-a-declaration-obligatoire/Le-retour-d-information-et-l-acces-aux-bases-de-donne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