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830051"/>
          <w:sz w:val="44"/>
        </w:rPr>
        <w:t>aCRF Annotation Engine</w:t>
      </w:r>
    </w:p>
    <w:p>
      <w:pPr>
        <w:spacing w:after="200"/>
      </w:pPr>
      <w:r>
        <w:rPr>
          <w:color w:val="6B6B6B"/>
          <w:sz w:val="22"/>
        </w:rPr>
        <w:t>User Guide  ·  SDTM Automation for Respiratory &amp; Immunology</w:t>
      </w:r>
    </w:p>
    <w:p>
      <w:pPr>
        <w:spacing w:after="160"/>
      </w:pPr>
      <w:r>
        <w:t>This tool takes a blank study CRF (PDF) and automatically produces a fully annotated CRF (aCRF) in which every collected field is mapped to its SDTM domain and variable, following CDISC SDTM-MSG v2.0 conventions. It is built for SDTM programmers: the engine does the first pass in seconds, and you review, correct, and regenerate from a web interface — no manual box-drawing in Acrobat. This guide walks through every screen and feature.</w:t>
      </w:r>
    </w:p>
    <w:p>
      <w:pPr>
        <w:pStyle w:val="Heading1"/>
      </w:pPr>
      <w:r>
        <w:t>1.  What you can upload</w:t>
      </w:r>
    </w:p>
    <w:p>
      <w:pPr>
        <w:spacing w:after="120"/>
      </w:pPr>
      <w:r>
        <w:t>Open the Upload &amp; Annotate screen and drag in a single CRF PDF (or click to browse). PDF only, up to 150 MB. The engine supports the CRF formats issued by AZ-EDC:</w:t>
      </w:r>
    </w:p>
    <w:p>
      <w:pPr>
        <w:pStyle w:val="ListBullet"/>
        <w:spacing w:after="40"/>
      </w:pPr>
      <w:r>
        <w:rPr>
          <w:b/>
        </w:rPr>
        <w:t xml:space="preserve">Blank / production CRF </w:t>
      </w:r>
      <w:r>
        <w:t>— a numbered, anchor-based blank CRF (the standard EDC export).</w:t>
      </w:r>
    </w:p>
    <w:p>
      <w:pPr>
        <w:pStyle w:val="ListBullet"/>
        <w:spacing w:after="40"/>
      </w:pPr>
      <w:r>
        <w:rPr>
          <w:b/>
        </w:rPr>
        <w:t xml:space="preserve">Annotated-style / RSG CRF </w:t>
      </w:r>
      <w:r>
        <w:t>— position-based layouts where fields are not numbered; the engine recovers field positions from the page geometry.</w:t>
      </w:r>
    </w:p>
    <w:p>
      <w:pPr>
        <w:pStyle w:val="ListBullet"/>
        <w:spacing w:after="40"/>
      </w:pPr>
      <w:r>
        <w:rPr>
          <w:b/>
        </w:rPr>
        <w:t xml:space="preserve">DB / Raw dataset CRF </w:t>
      </w:r>
      <w:r>
        <w:t>— spec-table (“Field Name / Data Type / SAS Label”) exports. EDC scaffolding pages are detected and skipped so only the real CRF screens are annotated.</w:t>
      </w:r>
    </w:p>
    <w:p>
      <w:pPr>
        <w:spacing w:after="160"/>
      </w:pPr>
      <w:r>
        <w:t>You do not need to pre-clean the file. Form headers, visit folders, EDC variable definitions and other non-collected text are filtered out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415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plo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15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B6B6B"/>
          <w:sz w:val="17"/>
        </w:rPr>
        <w:t>Figure: Upload screen — drag-and-drop with a five-step summary of the pipeline.</w:t>
      </w:r>
    </w:p>
    <w:p>
      <w:pPr>
        <w:pStyle w:val="Heading1"/>
      </w:pPr>
      <w:r>
        <w:t>2.  Reading the results dashboard</w:t>
      </w:r>
    </w:p>
    <w:p>
      <w:pPr>
        <w:spacing w:after="120"/>
      </w:pPr>
      <w:r>
        <w:t>When processing finishes (about 30–90 seconds for a large CRF) you land on the job page. The four cards at the top give you an at-a-glance quality read: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968"/>
          </w:tcPr>
          <w:p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Resolution Rate</w:t>
            </w:r>
          </w:p>
        </w:tc>
        <w:tc>
          <w:tcPr>
            <w:tcW w:type="dxa" w:w="4968"/>
          </w:tcPr>
          <w:p>
            <w:r>
              <w:t>Share of extracted fields the engine mapped to an SDTM variable (or marked NOT SUBMITTED). Your headline coverage number.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Annotations Written</w:t>
            </w:r>
          </w:p>
        </w:tc>
        <w:tc>
          <w:tcPr>
            <w:tcW w:type="dxa" w:w="4968"/>
          </w:tcPr>
          <w:p>
            <w:r>
              <w:t>Count of annotation boxes placed in the output PDF, and how many pages carry them.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Fields Extracted</w:t>
            </w:r>
          </w:p>
        </w:tc>
        <w:tc>
          <w:tcPr>
            <w:tcW w:type="dxa" w:w="4968"/>
          </w:tcPr>
          <w:p>
            <w:r>
              <w:t>Total candidate fields read from the CRF, and how many were dropped as noise (EDC plumbing, instructions).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Unique Forms</w:t>
            </w:r>
          </w:p>
        </w:tc>
        <w:tc>
          <w:tcPr>
            <w:tcW w:type="dxa" w:w="4968"/>
          </w:tcPr>
          <w:p>
            <w:r>
              <w:t>Number of distinct CRF form types detected across the document.</w:t>
            </w:r>
          </w:p>
        </w:tc>
      </w:tr>
    </w:tbl>
    <w:p>
      <w:pPr>
        <w:spacing w:after="80"/>
      </w:pPr>
    </w:p>
    <w:p>
      <w:pPr>
        <w:spacing w:after="120"/>
      </w:pPr>
      <w:r>
        <w:t>Below the cards, two panels explain how that coverage was achieved:</w:t>
      </w:r>
    </w:p>
    <w:p>
      <w:pPr>
        <w:pStyle w:val="ListBullet"/>
        <w:spacing w:after="40"/>
      </w:pPr>
      <w:r>
        <w:rPr>
          <w:b/>
        </w:rPr>
        <w:t xml:space="preserve">Resolution Overview (donut) </w:t>
      </w:r>
      <w:r>
        <w:t>the resolved-vs-unresolved split at a glance.</w:t>
      </w:r>
    </w:p>
    <w:p>
      <w:pPr>
        <w:pStyle w:val="ListBullet"/>
        <w:spacing w:after="40"/>
      </w:pPr>
      <w:r>
        <w:rPr>
          <w:b/>
        </w:rPr>
        <w:t xml:space="preserve">Resolution Tier Breakdown </w:t>
      </w:r>
      <w:r>
        <w:t>how each mapping was decided, so you know how much to trust it — High Confidence (exact rules), SDTM Standards, Standards Lookup, Not Submitted, and Unresolved. Higher tiers need less review.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7463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ats_char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746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B6B6B"/>
          <w:sz w:val="17"/>
        </w:rPr>
        <w:t>Figure: Job dashboard — quality metrics, resolution donut, tier breakdown, and the filter toolbar above the mappings table.</w:t>
      </w:r>
    </w:p>
    <w:p>
      <w:pPr>
        <w:pStyle w:val="Heading1"/>
      </w:pPr>
      <w:r>
        <w:t>3.  The field-mappings table — review &amp; filter</w:t>
      </w:r>
    </w:p>
    <w:p>
      <w:pPr>
        <w:spacing w:after="120"/>
      </w:pPr>
      <w:r>
        <w:t>Every field the engine read is listed here, with its CRF label, the SDTM annotation, the domain, the variable, and a confidence bar. Two tabs split the work: Resolved and Unresolved (the fields that need your attention). Use the toolbar to narrow the list:</w:t>
      </w:r>
    </w:p>
    <w:p>
      <w:pPr>
        <w:pStyle w:val="ListBullet"/>
        <w:spacing w:after="40"/>
      </w:pPr>
      <w:r>
        <w:rPr>
          <w:b/>
        </w:rPr>
        <w:t xml:space="preserve">Search </w:t>
      </w:r>
      <w:r>
        <w:t>free-text match on field label, form code, or annotation.</w:t>
      </w:r>
    </w:p>
    <w:p>
      <w:pPr>
        <w:pStyle w:val="ListBullet"/>
        <w:spacing w:after="40"/>
      </w:pPr>
      <w:r>
        <w:rPr>
          <w:b/>
        </w:rPr>
        <w:t xml:space="preserve">All Forms </w:t>
      </w:r>
      <w:r>
        <w:t>show one CRF form at a time.</w:t>
      </w:r>
    </w:p>
    <w:p>
      <w:pPr>
        <w:pStyle w:val="ListBullet"/>
        <w:spacing w:after="40"/>
      </w:pPr>
      <w:r>
        <w:rPr>
          <w:b/>
        </w:rPr>
        <w:t xml:space="preserve">All Classes </w:t>
      </w:r>
      <w:r>
        <w:t>filter by SDTM class (Events, Interventions, Findings, Findings About, Special Purpose, Relationship).</w:t>
      </w:r>
    </w:p>
    <w:p>
      <w:pPr>
        <w:pStyle w:val="ListBullet"/>
        <w:spacing w:after="40"/>
      </w:pPr>
      <w:r>
        <w:rPr>
          <w:b/>
        </w:rPr>
        <w:t xml:space="preserve">All Confidence </w:t>
      </w:r>
      <w:r>
        <w:t>show only mappings at or above ≥90% / ≥95% / ≥98%, to focus review on the weaker ones.</w:t>
      </w:r>
    </w:p>
    <w:p>
      <w:pPr>
        <w:spacing w:after="120"/>
      </w:pPr>
      <w:r>
        <w:t>Every column header is click-to-sort. The footer shows how many fields match your current filters.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7463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dit_in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746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B6B6B"/>
          <w:sz w:val="17"/>
        </w:rPr>
        <w:t>Figure: Mappings table with one row open for editing; NOT SUBMITTED and tier badges sit under each field label.</w:t>
      </w:r>
    </w:p>
    <w:p>
      <w:pPr>
        <w:pStyle w:val="Heading1"/>
      </w:pPr>
      <w:r>
        <w:t>4.  Correcting an annotation and regenerating the PDF</w:t>
      </w:r>
    </w:p>
    <w:p>
      <w:pPr>
        <w:spacing w:after="120"/>
      </w:pPr>
      <w:r>
        <w:t>You are in control of the final output. To change any mapping:</w:t>
      </w:r>
    </w:p>
    <w:p>
      <w:pPr>
        <w:pStyle w:val="ListNumber"/>
      </w:pPr>
      <w:r>
        <w:t>Click the pencil icon on the row. The annotation becomes an editable field.</w:t>
      </w:r>
    </w:p>
    <w:p>
      <w:pPr>
        <w:pStyle w:val="ListNumber"/>
      </w:pPr>
      <w:r>
        <w:t>Type the corrected annotation. For multiple annotations on one field, separate them with commas (e.g. VS.VSORRES, VS.VSTESTCD).</w:t>
      </w:r>
    </w:p>
    <w:p>
      <w:pPr>
        <w:pStyle w:val="ListNumber"/>
      </w:pPr>
      <w:r>
        <w:t>Press the green check (or Enter) to stage the edit. The row is highlighted and counted as a pending edit; nothing is committed yet.</w:t>
      </w:r>
    </w:p>
    <w:p>
      <w:pPr>
        <w:pStyle w:val="ListNumber"/>
      </w:pPr>
      <w:r>
        <w:t>When you have staged all your edits, click Save &amp; Regenerate PDF in the sticky footer. The engine rewrites the annotated PDF with your corrections; Discard All reverts pending edits.</w:t>
      </w:r>
    </w:p>
    <w:p>
      <w:pPr>
        <w:spacing w:after="120"/>
      </w:pPr>
      <w:r>
        <w:t>You can also copy any annotation to the clipboard with the copy icon — handy when reusing a mapping across similar fields.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635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ending_foo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63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B6B6B"/>
          <w:sz w:val="17"/>
        </w:rPr>
        <w:t>Figure: A staged edit highlights the row and raises the “Save &amp; Regenerate PDF” footer.</w:t>
      </w:r>
    </w:p>
    <w:p>
      <w:pPr>
        <w:pStyle w:val="Heading1"/>
      </w:pPr>
      <w:r>
        <w:t>5.  The annotated PDF output</w:t>
      </w:r>
    </w:p>
    <w:p>
      <w:pPr>
        <w:spacing w:after="120"/>
      </w:pPr>
      <w:r>
        <w:t>Download the finished aCRF with the Download PDF button (top-right of the job page). The full field-level mapping can be exported separately as a traceability spreadsheet with Export CSV — useful for review sign-off and for feeding downstream specs. The annotated PDF follows SDTM-MSG v2.0:</w:t>
      </w:r>
    </w:p>
    <w:p>
      <w:pPr>
        <w:pStyle w:val="ListBullet"/>
        <w:spacing w:after="40"/>
      </w:pPr>
      <w:r>
        <w:rPr>
          <w:b/>
        </w:rPr>
        <w:t xml:space="preserve">Domain headers </w:t>
      </w:r>
      <w:r>
        <w:t>colour-coded by domain, with the dataset name in a coloured header box at the top-left of each form (e.g. CM, MH).</w:t>
      </w:r>
    </w:p>
    <w:p>
      <w:pPr>
        <w:pStyle w:val="ListBullet"/>
        <w:spacing w:after="40"/>
      </w:pPr>
      <w:r>
        <w:rPr>
          <w:b/>
        </w:rPr>
        <w:t xml:space="preserve">Variable boxes </w:t>
      </w:r>
      <w:r>
        <w:t>each box is filled in the domain's colour with a darker frame; black text carries the variable name. Derived / dictionary-coded variables and non-collected fields use a dashed grey [NOT SUBMITTED] box.</w:t>
      </w:r>
    </w:p>
    <w:p>
      <w:pPr>
        <w:pStyle w:val="ListBullet"/>
        <w:spacing w:after="40"/>
      </w:pPr>
      <w:r>
        <w:rPr>
          <w:b/>
        </w:rPr>
        <w:t xml:space="preserve">Fully editable in Acrobat </w:t>
      </w:r>
      <w:r>
        <w:t>the boxes are real PDF FreeText annotations, not flattened pixels. In Adobe Acrobat a programmer can click any box to drag, resize, re-position, or edit its text, exactly as with a hand-annotated CRF — so the engine's output is a starting point you stay free to adjust.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933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df_cr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93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B6B6B"/>
          <w:sz w:val="17"/>
        </w:rPr>
        <w:t>Figure: Output detail — editable, colour-coded FreeText annotation boxes and dashed NOT SUBMITTED markers, aligned to each CRF field row.</w:t>
      </w:r>
    </w:p>
    <w:p>
      <w:pPr>
        <w:pStyle w:val="Heading1"/>
      </w:pPr>
      <w:r>
        <w:t>6.  Job history</w:t>
      </w:r>
    </w:p>
    <w:p>
      <w:pPr>
        <w:spacing w:after="120"/>
      </w:pPr>
      <w:r>
        <w:t>The Job History screen lists every annotation run with its filename, job ID, annotation count, resolution rate, and status. Click View to reopen any job, re-download its PDF, or continue editing.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392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job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39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B6B6B"/>
          <w:sz w:val="17"/>
        </w:rPr>
        <w:t>Figure: Job History — re-open, re-download, or keep editing any previous run.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3005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6B2D8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