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8E446" w14:textId="77777777" w:rsidR="00710FA0" w:rsidRPr="00B30FBD" w:rsidRDefault="00000000" w:rsidP="00710FA0">
      <w:pPr>
        <w:spacing w:after="0" w:line="240" w:lineRule="auto"/>
        <w:jc w:val="center"/>
        <w:rPr>
          <w:b/>
          <w:color w:val="830051"/>
          <w:sz w:val="36"/>
          <w:szCs w:val="36"/>
        </w:rPr>
      </w:pPr>
      <w:proofErr w:type="spellStart"/>
      <w:r w:rsidRPr="00B30FBD">
        <w:rPr>
          <w:b/>
          <w:color w:val="830051"/>
          <w:sz w:val="36"/>
          <w:szCs w:val="36"/>
        </w:rPr>
        <w:t>aCRF</w:t>
      </w:r>
      <w:proofErr w:type="spellEnd"/>
      <w:r w:rsidRPr="00B30FBD">
        <w:rPr>
          <w:b/>
          <w:color w:val="830051"/>
          <w:sz w:val="36"/>
          <w:szCs w:val="36"/>
        </w:rPr>
        <w:t xml:space="preserve"> Annotation Engine</w:t>
      </w:r>
      <w:r w:rsidR="00BE2E4A" w:rsidRPr="00B30FBD">
        <w:rPr>
          <w:b/>
          <w:color w:val="830051"/>
          <w:sz w:val="36"/>
          <w:szCs w:val="36"/>
        </w:rPr>
        <w:t xml:space="preserve"> </w:t>
      </w:r>
    </w:p>
    <w:p w14:paraId="0E6F5C96" w14:textId="510B4953" w:rsidR="002964C4" w:rsidRDefault="00BE2E4A" w:rsidP="00710FA0">
      <w:pPr>
        <w:spacing w:after="0" w:line="240" w:lineRule="auto"/>
        <w:jc w:val="center"/>
      </w:pPr>
      <w:r>
        <w:rPr>
          <w:color w:val="6B6B6B"/>
          <w:sz w:val="22"/>
        </w:rPr>
        <w:t>User Guide</w:t>
      </w:r>
    </w:p>
    <w:p w14:paraId="56755601" w14:textId="77777777" w:rsidR="00693CEB" w:rsidRPr="00B30FBD" w:rsidRDefault="00693CEB" w:rsidP="00693CEB">
      <w:pPr>
        <w:pStyle w:val="Heading1"/>
        <w:rPr>
          <w:sz w:val="26"/>
          <w:szCs w:val="26"/>
        </w:rPr>
      </w:pPr>
      <w:r w:rsidRPr="00B30FBD">
        <w:rPr>
          <w:sz w:val="26"/>
          <w:szCs w:val="26"/>
        </w:rPr>
        <w:t>What it does</w:t>
      </w:r>
    </w:p>
    <w:p w14:paraId="6E714385" w14:textId="19D24BEB" w:rsidR="00693CEB" w:rsidRDefault="00693CEB" w:rsidP="00693CEB">
      <w:pPr>
        <w:spacing w:after="160"/>
      </w:pPr>
      <w:r w:rsidRPr="00005627">
        <w:t xml:space="preserve">The </w:t>
      </w:r>
      <w:proofErr w:type="spellStart"/>
      <w:r w:rsidRPr="00005627">
        <w:t>aCRF</w:t>
      </w:r>
      <w:proofErr w:type="spellEnd"/>
      <w:r w:rsidRPr="00005627">
        <w:t xml:space="preserve"> Annotation Engine automates the creation of SDTM-annotated C</w:t>
      </w:r>
      <w:r>
        <w:t>RFs. It</w:t>
      </w:r>
      <w:r w:rsidRPr="00005627">
        <w:t xml:space="preserve"> extracts every collected field from a blank CRF, maps it to the correct SDTM domain and variable in compliance with CDISC SDTM-MSG v2.0, and produces a submission-ready annotated PDF alongside a field-level traceability export. </w:t>
      </w:r>
      <w:r>
        <w:t>P</w:t>
      </w:r>
      <w:r w:rsidRPr="00005627">
        <w:t>rogrammer</w:t>
      </w:r>
      <w:r>
        <w:t>s</w:t>
      </w:r>
      <w:r w:rsidRPr="00005627">
        <w:t xml:space="preserve"> </w:t>
      </w:r>
      <w:r>
        <w:t>can review the</w:t>
      </w:r>
      <w:r w:rsidRPr="00005627">
        <w:t xml:space="preserve"> annotations in Acrobat </w:t>
      </w:r>
      <w:r>
        <w:t>directly</w:t>
      </w:r>
      <w:r w:rsidRPr="00005627">
        <w:t xml:space="preserve">, </w:t>
      </w:r>
      <w:r>
        <w:t>correct</w:t>
      </w:r>
      <w:r w:rsidRPr="00005627">
        <w:t xml:space="preserve">, and </w:t>
      </w:r>
      <w:r>
        <w:t>sign</w:t>
      </w:r>
      <w:r w:rsidRPr="00005627">
        <w:t xml:space="preserve"> off on </w:t>
      </w:r>
      <w:r>
        <w:t>the</w:t>
      </w:r>
      <w:r w:rsidRPr="00005627">
        <w:t xml:space="preserve"> first</w:t>
      </w:r>
      <w:r w:rsidR="00812CFB">
        <w:t>-</w:t>
      </w:r>
      <w:r w:rsidRPr="00005627">
        <w:t>draft</w:t>
      </w:r>
      <w:r>
        <w:t xml:space="preserve"> CRF.</w:t>
      </w:r>
    </w:p>
    <w:p>
      <w:pPr>
        <w:pStyle w:val="Heading1"/>
      </w:pPr>
      <w:r>
        <w:t>Getting Started — Installing &amp; Running the Tool on Your Computer</w:t>
      </w:r>
    </w:p>
    <w:p>
      <w:pPr>
        <w:spacing w:after="160"/>
      </w:pPr>
      <w:r>
        <w:t>This section is written for someone who has never used these programs before — every step is spelled out, including things that may feel obvious if you've done this before. You only need to do this once per computer. After that, starting the tool again takes four short steps (see “Starting it again next time” near the end of this section). Follow the steps in order, from top to bottom.</w:t>
      </w:r>
    </w:p>
    <w:p>
      <w:pPr>
        <w:pStyle w:val="Heading2"/>
      </w:pPr>
      <w:r>
        <w:t>Words you'll see in this guide</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rPr>
              <w:t>Word</w:t>
            </w:r>
          </w:p>
        </w:tc>
        <w:tc>
          <w:tcPr>
            <w:tcW w:type="dxa" w:w="6480"/>
          </w:tcPr>
          <w:p>
            <w:r>
              <w:rPr>
                <w:b/>
              </w:rPr>
              <w:t>What it means</w:t>
            </w:r>
          </w:p>
        </w:tc>
      </w:tr>
      <w:tr>
        <w:tc>
          <w:tcPr>
            <w:tcW w:type="dxa" w:w="2448"/>
          </w:tcPr>
          <w:p>
            <w:r>
              <w:rPr>
                <w:b/>
              </w:rPr>
              <w:t>Folder</w:t>
            </w:r>
          </w:p>
        </w:tc>
        <w:tc>
          <w:tcPr>
            <w:tcW w:type="dxa" w:w="6480"/>
          </w:tcPr>
          <w:p>
            <w:r>
              <w:t>A place on your computer that holds files — like a physical folder holding papers. The whole tool lives in one folder.</w:t>
            </w:r>
          </w:p>
        </w:tc>
      </w:tr>
      <w:tr>
        <w:tc>
          <w:tcPr>
            <w:tcW w:type="dxa" w:w="2448"/>
          </w:tcPr>
          <w:p>
            <w:r>
              <w:rPr>
                <w:b/>
              </w:rPr>
              <w:t>VS Code</w:t>
            </w:r>
          </w:p>
        </w:tc>
        <w:tc>
          <w:tcPr>
            <w:tcW w:type="dxa" w:w="6480"/>
          </w:tcPr>
          <w:p>
            <w:r>
              <w:t>A free Microsoft program for opening a project folder and running it. Think of it as Notepad, a file browser, and a type-a-command box, all in one window.</w:t>
            </w:r>
          </w:p>
        </w:tc>
      </w:tr>
      <w:tr>
        <w:tc>
          <w:tcPr>
            <w:tcW w:type="dxa" w:w="2448"/>
          </w:tcPr>
          <w:p>
            <w:r>
              <w:rPr>
                <w:b/>
              </w:rPr>
              <w:t>Terminal</w:t>
            </w:r>
          </w:p>
        </w:tc>
        <w:tc>
          <w:tcPr>
            <w:tcW w:type="dxa" w:w="6480"/>
          </w:tcPr>
          <w:p>
            <w:r>
              <w:t>A black or dark-blue box inside VS Code where you type a short instruction (a “command”) and press Enter, instead of clicking buttons. It's a direct, typed conversation with your computer.</w:t>
            </w:r>
          </w:p>
        </w:tc>
      </w:tr>
      <w:tr>
        <w:tc>
          <w:tcPr>
            <w:tcW w:type="dxa" w:w="2448"/>
          </w:tcPr>
          <w:p>
            <w:r>
              <w:rPr>
                <w:b/>
              </w:rPr>
              <w:t>Command</w:t>
            </w:r>
          </w:p>
        </w:tc>
        <w:tc>
          <w:tcPr>
            <w:tcW w:type="dxa" w:w="6480"/>
          </w:tcPr>
          <w:p>
            <w:r>
              <w:t>One line of text you type into the terminal and run by pressing Enter. Every grey/purple box in this section is a command.</w:t>
            </w:r>
          </w:p>
        </w:tc>
      </w:tr>
      <w:tr>
        <w:tc>
          <w:tcPr>
            <w:tcW w:type="dxa" w:w="2448"/>
          </w:tcPr>
          <w:p>
            <w:r>
              <w:rPr>
                <w:b/>
              </w:rPr>
              <w:t>Python</w:t>
            </w:r>
          </w:p>
        </w:tc>
        <w:tc>
          <w:tcPr>
            <w:tcW w:type="dxa" w:w="6480"/>
          </w:tcPr>
          <w:p>
            <w:r>
              <w:t>A programming language. The part of this tool that reads the CRF PDF and works out the SDTM mapping is written in Python.</w:t>
            </w:r>
          </w:p>
        </w:tc>
      </w:tr>
      <w:tr>
        <w:tc>
          <w:tcPr>
            <w:tcW w:type="dxa" w:w="2448"/>
          </w:tcPr>
          <w:p>
            <w:r>
              <w:rPr>
                <w:b/>
              </w:rPr>
              <w:t>Node.js</w:t>
            </w:r>
          </w:p>
        </w:tc>
        <w:tc>
          <w:tcPr>
            <w:tcW w:type="dxa" w:w="6480"/>
          </w:tcPr>
          <w:p>
            <w:r>
              <w:t>A second programming language / engine. The part of this tool you see and click in your web browser is built with it.</w:t>
            </w:r>
          </w:p>
        </w:tc>
      </w:tr>
      <w:tr>
        <w:tc>
          <w:tcPr>
            <w:tcW w:type="dxa" w:w="2448"/>
          </w:tcPr>
          <w:p>
            <w:r>
              <w:rPr>
                <w:b/>
              </w:rPr>
              <w:t>Virtual environment (“venv”)</w:t>
            </w:r>
          </w:p>
        </w:tc>
        <w:tc>
          <w:tcPr>
            <w:tcW w:type="dxa" w:w="6480"/>
          </w:tcPr>
          <w:p>
            <w:r>
              <w:t>A private, separate toolbox of Python add-ons used only by this project, so it can't clash with anything else on your computer. You create it once.</w:t>
            </w:r>
          </w:p>
        </w:tc>
      </w:tr>
      <w:tr>
        <w:tc>
          <w:tcPr>
            <w:tcW w:type="dxa" w:w="2448"/>
          </w:tcPr>
          <w:p>
            <w:r>
              <w:rPr>
                <w:b/>
              </w:rPr>
              <w:t>Package</w:t>
            </w:r>
          </w:p>
        </w:tc>
        <w:tc>
          <w:tcPr>
            <w:tcW w:type="dxa" w:w="6480"/>
          </w:tcPr>
          <w:p>
            <w:r>
              <w:t>A ready-made piece of code someone else already wrote that this tool needs (e.g. the piece that reads PDF files). “Installing packages” just downloads these automatically.</w:t>
            </w:r>
          </w:p>
        </w:tc>
      </w:tr>
      <w:tr>
        <w:tc>
          <w:tcPr>
            <w:tcW w:type="dxa" w:w="2448"/>
          </w:tcPr>
          <w:p>
            <w:r>
              <w:rPr>
                <w:b/>
              </w:rPr>
              <w:t>node_modules</w:t>
            </w:r>
          </w:p>
        </w:tc>
        <w:tc>
          <w:tcPr>
            <w:tcW w:type="dxa" w:w="6480"/>
          </w:tcPr>
          <w:p>
            <w:r>
              <w:t>A folder that gets created automatically the first time you set up the website part. It holds all its downloaded packages. You never need to open it.</w:t>
            </w:r>
          </w:p>
        </w:tc>
      </w:tr>
      <w:tr>
        <w:tc>
          <w:tcPr>
            <w:tcW w:type="dxa" w:w="2448"/>
          </w:tcPr>
          <w:p>
            <w:r>
              <w:rPr>
                <w:b/>
              </w:rPr>
              <w:t>localhost</w:t>
            </w:r>
          </w:p>
        </w:tc>
        <w:tc>
          <w:tcPr>
            <w:tcW w:type="dxa" w:w="6480"/>
          </w:tcPr>
          <w:p>
            <w:r>
              <w:t>A web address that only works on your own computer — used to view the tool in your browser once it's running, like a private website just for you.</w:t>
            </w:r>
          </w:p>
        </w:tc>
      </w:tr>
    </w:tbl>
    <w:p>
      <w:pPr>
        <w:spacing w:after="40"/>
      </w:pPr>
    </w:p>
    <w:p>
      <w:pPr>
        <w:pStyle w:val="Heading2"/>
      </w:pPr>
      <w:r>
        <w:t>Before you start</w:t>
      </w:r>
    </w:p>
    <w:p>
      <w:pPr>
        <w:pStyle w:val="ListBullet"/>
        <w:spacing w:after="40"/>
      </w:pPr>
      <w:r>
        <w:rPr>
          <w:b/>
        </w:rPr>
        <w:t xml:space="preserve">Access to the project folder — </w:t>
      </w:r>
      <w:r>
        <w:t>someone needs to share the project folder with you. It will appear automatically in your own OneDrive once shared — you don't need to download or copy anything by hand. The folder path is:</w:t>
      </w:r>
    </w:p>
    <w:p>
      <w:pPr>
        <w:spacing w:after="160"/>
        <w:ind w:left="288"/>
      </w:pPr>
      <w:r>
        <w:rPr>
          <w:rFonts w:ascii="Consolas" w:hAnsi="Consolas"/>
          <w:b/>
          <w:color w:val="6B2D88"/>
          <w:sz w:val="19"/>
        </w:rPr>
        <w:t>C:\Users\kjvd631\OneDrive - AZCollaboration\Desktop\acrf_tool</w:t>
      </w:r>
    </w:p>
    <w:p>
      <w:pPr>
        <w:pStyle w:val="ListBullet"/>
        <w:spacing w:after="40"/>
      </w:pPr>
      <w:r>
        <w:rPr>
          <w:b/>
        </w:rPr>
        <w:t xml:space="preserve">A Windows laptop with the AZ Software Store — </w:t>
      </w:r>
      <w:r>
        <w:t>VS Code, Python, and Node.js are installed via your AZ Software Store (also called Company Portal / Software Center — the app you already use to install approved company software). If you don't have permission to install software, raise an IT ticket asking for these three by name.</w:t>
      </w:r>
    </w:p>
    <w:p>
      <w:pPr>
        <w:pStyle w:val="ListBullet"/>
        <w:spacing w:after="40"/>
      </w:pPr>
      <w:r>
        <w:rPr>
          <w:b/>
        </w:rPr>
        <w:t xml:space="preserve">Time — </w:t>
      </w:r>
      <w:r>
        <w:t>about 15–20 minutes, done once. Every step after this is a copy-paste of a command shown below.</w:t>
      </w:r>
    </w:p>
    <w:p>
      <w:pPr>
        <w:pStyle w:val="Heading2"/>
      </w:pPr>
      <w:r>
        <w:t>Step 1 — Get access to the project folder</w:t>
      </w:r>
    </w:p>
    <w:p>
      <w:pPr>
        <w:pStyle w:val="ListNumber"/>
        <w:spacing w:after="80"/>
      </w:pPr>
      <w:r>
        <w:t>Ask the person handing this tool over to you to share the folder with your AZ account. Once shared, it appears by itself in your OneDrive — no action needed from you beyond waiting for it to sync.</w:t>
      </w:r>
    </w:p>
    <w:p>
      <w:pPr>
        <w:pStyle w:val="ListNumber"/>
        <w:spacing w:after="80"/>
      </w:pPr>
      <w:r>
        <w:t>Open File Explorer (the folder icon on your taskbar) and go to OneDrive - AZCollaboration → Desktop → acrf_tool. You should see folders inside such as app, frontend, src, and cache.</w:t>
      </w:r>
    </w:p>
    <w:p>
      <w:pPr>
        <w:spacing w:after="160"/>
        <w:ind w:left="216"/>
      </w:pPr>
      <w:r>
        <w:rPr>
          <w:b/>
          <w:i/>
          <w:color w:val="6B2D88"/>
          <w:sz w:val="19"/>
        </w:rPr>
        <w:t xml:space="preserve">Tip: </w:t>
      </w:r>
      <w:r>
        <w:rPr>
          <w:i/>
          <w:color w:val="6B6B6B"/>
          <w:sz w:val="19"/>
        </w:rPr>
        <w:t>Before continuing, check the little icon on the acrf_tool folder in File Explorer. A green tick means OneDrive has finished downloading it; a blue spinning-arrows icon means it's still syncing — wait for the green tick.</w:t>
      </w:r>
    </w:p>
    <w:p>
      <w:pPr>
        <w:pStyle w:val="Heading2"/>
      </w:pPr>
      <w:r>
        <w:t>Step 2 — Install Visual Studio Code (VS Code)</w:t>
      </w:r>
    </w:p>
    <w:p>
      <w:pPr>
        <w:pStyle w:val="ListNumber"/>
        <w:spacing w:after="80"/>
      </w:pPr>
      <w:r>
        <w:t>Open the AZ Software Store from your Start menu.</w:t>
      </w:r>
    </w:p>
    <w:p>
      <w:pPr>
        <w:pStyle w:val="ListNumber"/>
        <w:spacing w:after="80"/>
      </w:pPr>
      <w:r>
        <w:t>Search for “Visual Studio Code” and click Install. Wait for it to finish.</w:t>
      </w:r>
    </w:p>
    <w:p>
      <w:pPr>
        <w:pStyle w:val="ListNumber"/>
        <w:spacing w:after="80"/>
      </w:pPr>
      <w:r>
        <w:t>Open VS Code from your Start menu — its icon is a dark blue angle bracket (&lt; &gt;).</w:t>
      </w:r>
    </w:p>
    <w:p>
      <w:pPr>
        <w:spacing w:after="160"/>
        <w:ind w:left="216"/>
      </w:pPr>
      <w:r>
        <w:rPr>
          <w:b/>
          <w:i/>
          <w:color w:val="6B2D88"/>
          <w:sz w:val="19"/>
        </w:rPr>
        <w:t xml:space="preserve">Tip: </w:t>
      </w:r>
      <w:r>
        <w:rPr>
          <w:i/>
          <w:color w:val="6B6B6B"/>
          <w:sz w:val="19"/>
        </w:rPr>
        <w:t>If VS Code is already on your laptop, skip straight to Step 5.</w:t>
      </w:r>
    </w:p>
    <w:p>
      <w:pPr>
        <w:pStyle w:val="Heading2"/>
      </w:pPr>
      <w:r>
        <w:t>Step 3 — Install Python</w:t>
      </w:r>
    </w:p>
    <w:p>
      <w:pPr>
        <w:pStyle w:val="ListNumber"/>
        <w:spacing w:after="80"/>
      </w:pPr>
      <w:r>
        <w:t>In the AZ Software Store, search for “Python”.</w:t>
      </w:r>
    </w:p>
    <w:p>
      <w:pPr>
        <w:pStyle w:val="ListNumber"/>
        <w:spacing w:after="80"/>
      </w:pPr>
      <w:r>
        <w:t>Install Python 3.11 (or the newest 3.x version offered — avoid anything older than 3.10).</w:t>
      </w:r>
    </w:p>
    <w:p>
      <w:pPr>
        <w:spacing w:after="160"/>
        <w:ind w:left="216"/>
      </w:pPr>
      <w:r>
        <w:rPr>
          <w:b/>
          <w:i/>
          <w:color w:val="6B2D88"/>
          <w:sz w:val="19"/>
        </w:rPr>
        <w:t xml:space="preserve">Tip: </w:t>
      </w:r>
      <w:r>
        <w:rPr>
          <w:i/>
          <w:color w:val="6B6B6B"/>
          <w:sz w:val="19"/>
        </w:rPr>
        <w:t>Not available in the store? Raise an IT ticket asking for “Python 3.11, added to PATH” to be installed on your laptop.</w:t>
      </w:r>
    </w:p>
    <w:p>
      <w:pPr>
        <w:pStyle w:val="Heading2"/>
      </w:pPr>
      <w:r>
        <w:t>Step 4 — Install Node.js</w:t>
      </w:r>
    </w:p>
    <w:p>
      <w:pPr>
        <w:pStyle w:val="ListNumber"/>
        <w:spacing w:after="80"/>
      </w:pPr>
      <w:r>
        <w:t>In the AZ Software Store, search for “Node.js”.</w:t>
      </w:r>
    </w:p>
    <w:p>
      <w:pPr>
        <w:pStyle w:val="ListNumber"/>
        <w:spacing w:after="80"/>
      </w:pPr>
      <w:r>
        <w:t>Install the version labelled LTS (Long Term Support) — this is the stable, recommended one.</w:t>
      </w:r>
    </w:p>
    <w:p>
      <w:pPr>
        <w:spacing w:after="160"/>
        <w:ind w:left="216"/>
      </w:pPr>
      <w:r>
        <w:rPr>
          <w:b/>
          <w:i/>
          <w:color w:val="6B2D88"/>
          <w:sz w:val="19"/>
        </w:rPr>
        <w:t xml:space="preserve">Tip: </w:t>
      </w:r>
      <w:r>
        <w:rPr>
          <w:i/>
          <w:color w:val="6B6B6B"/>
          <w:sz w:val="19"/>
        </w:rPr>
        <w:t>Not available in the store? Raise the same kind of IT ticket asking for “Node.js LTS” to be installed on your laptop.</w:t>
      </w:r>
    </w:p>
    <w:p>
      <w:pPr>
        <w:pStyle w:val="Heading2"/>
      </w:pPr>
      <w:r>
        <w:t>Step 5 — Open the project folder in VS Code</w:t>
      </w:r>
    </w:p>
    <w:p>
      <w:pPr>
        <w:pStyle w:val="ListNumber"/>
        <w:spacing w:after="80"/>
      </w:pPr>
      <w:r>
        <w:t>Open VS Code.</w:t>
      </w:r>
    </w:p>
    <w:p>
      <w:pPr>
        <w:pStyle w:val="ListNumber"/>
        <w:spacing w:after="80"/>
      </w:pPr>
      <w:r>
        <w:t>Click File (top-left corner) → Open Folder…</w:t>
      </w:r>
    </w:p>
    <w:p>
      <w:pPr>
        <w:pStyle w:val="ListNumber"/>
        <w:spacing w:after="80"/>
      </w:pPr>
      <w:r>
        <w:t>Browse to and select the acrf_tool folder from Step 1, then click Select Folder.</w:t>
      </w:r>
    </w:p>
    <w:p>
      <w:pPr>
        <w:spacing w:after="120"/>
      </w:pPr>
      <w:r>
        <w:t>VS Code will reload and show the project's files and folders down the left-hand side — this list is called the Explorer panel.</w:t>
      </w:r>
    </w:p>
    <w:p>
      <w:pPr>
        <w:pStyle w:val="Heading2"/>
      </w:pPr>
      <w:r>
        <w:t>Step 6 — Open a terminal inside VS Code</w:t>
      </w:r>
    </w:p>
    <w:p>
      <w:pPr>
        <w:spacing w:after="80"/>
      </w:pPr>
      <w:r>
        <w:t>From here on, every step is done by typing a command shown below into a terminal and pressing Enter — nothing needs to be clicked or configured.</w:t>
      </w:r>
    </w:p>
    <w:p>
      <w:pPr>
        <w:pStyle w:val="ListNumber"/>
        <w:spacing w:after="80"/>
      </w:pPr>
      <w:r>
        <w:t>In VS Code's top menu, click Terminal → New Terminal.</w:t>
      </w:r>
    </w:p>
    <w:p>
      <w:pPr>
        <w:pStyle w:val="ListNumber"/>
        <w:spacing w:after="80"/>
      </w:pPr>
      <w:r>
        <w:t>A dark panel opens at the bottom of the window with a blinking cursor — this is your terminal. It already points at your project folder, so there's nothing to navigate to.</w:t>
      </w:r>
    </w:p>
    <w:p>
      <w:pPr>
        <w:spacing w:after="160"/>
        <w:ind w:left="216"/>
      </w:pPr>
      <w:r>
        <w:rPr>
          <w:b/>
          <w:i/>
          <w:color w:val="6B2D88"/>
          <w:sz w:val="19"/>
        </w:rPr>
        <w:t xml:space="preserve">Tip: </w:t>
      </w:r>
      <w:r>
        <w:rPr>
          <w:i/>
          <w:color w:val="6B6B6B"/>
          <w:sz w:val="19"/>
        </w:rPr>
        <w:t>Type each command below exactly as written into this panel, press Enter, and wait for it to finish (the cursor becomes free again) before typing the next one.</w:t>
      </w:r>
    </w:p>
    <w:p>
      <w:pPr>
        <w:pStyle w:val="Heading2"/>
      </w:pPr>
      <w:r>
        <w:t>Step 7 — Create the Python toolbox (virtual environment)</w:t>
      </w:r>
    </w:p>
    <w:p>
      <w:pPr>
        <w:spacing w:after="80"/>
      </w:pPr>
      <w:r>
        <w:t>This creates the private, isolated set of Python add-ons for this project only (see “Virtual environment” above). Run:</w:t>
      </w:r>
    </w:p>
    <w:p>
      <w:pPr>
        <w:spacing w:after="160"/>
        <w:ind w:left="288"/>
      </w:pPr>
      <w:r>
        <w:rPr>
          <w:rFonts w:ascii="Consolas" w:hAnsi="Consolas"/>
          <w:b/>
          <w:color w:val="6B2D88"/>
          <w:sz w:val="20"/>
        </w:rPr>
        <w:t>python -m venv venv</w:t>
      </w:r>
    </w:p>
    <w:p>
      <w:pPr>
        <w:spacing w:after="80"/>
      </w:pPr>
      <w:r>
        <w:t>Then switch into it. VS Code's terminal is usually PowerShell — if so, use this line:</w:t>
      </w:r>
    </w:p>
    <w:p>
      <w:pPr>
        <w:spacing w:after="160"/>
        <w:ind w:left="288"/>
      </w:pPr>
      <w:r>
        <w:rPr>
          <w:rFonts w:ascii="Consolas" w:hAnsi="Consolas"/>
          <w:b/>
          <w:color w:val="6B2D88"/>
          <w:sz w:val="20"/>
        </w:rPr>
        <w:t>.\venv\Scripts\Activate.ps1</w:t>
      </w:r>
    </w:p>
    <w:p>
      <w:pPr>
        <w:spacing w:after="80"/>
      </w:pPr>
      <w:r>
        <w:t>If your terminal instead says Command Prompt at the top, use this line instead:</w:t>
      </w:r>
    </w:p>
    <w:p>
      <w:pPr>
        <w:spacing w:after="160"/>
        <w:ind w:left="288"/>
      </w:pPr>
      <w:r>
        <w:rPr>
          <w:rFonts w:ascii="Consolas" w:hAnsi="Consolas"/>
          <w:b/>
          <w:color w:val="6B2D88"/>
          <w:sz w:val="20"/>
        </w:rPr>
        <w:t>venv\Scripts\activate.bat</w:t>
      </w:r>
    </w:p>
    <w:p>
      <w:pPr>
        <w:spacing w:after="160"/>
        <w:ind w:left="216"/>
      </w:pPr>
      <w:r>
        <w:rPr>
          <w:b/>
          <w:i/>
          <w:color w:val="6B2D88"/>
          <w:sz w:val="19"/>
        </w:rPr>
        <w:t xml:space="preserve">Tip: </w:t>
      </w:r>
      <w:r>
        <w:rPr>
          <w:i/>
          <w:color w:val="6B6B6B"/>
          <w:sz w:val="19"/>
        </w:rPr>
        <w:t>You'll know it worked when you see (venv) appear at the start of the line in your terminal. You only create the venv once — every time you come back later you just re-run the activate line, not the create line.</w:t>
      </w:r>
    </w:p>
    <w:p>
      <w:pPr>
        <w:pStyle w:val="Heading2"/>
      </w:pPr>
      <w:r>
        <w:t>Step 8 — Install the Python packages</w:t>
      </w:r>
    </w:p>
    <w:p>
      <w:pPr>
        <w:spacing w:after="160"/>
        <w:ind w:left="288"/>
      </w:pPr>
      <w:r>
        <w:rPr>
          <w:rFonts w:ascii="Consolas" w:hAnsi="Consolas"/>
          <w:b/>
          <w:color w:val="6B2D88"/>
          <w:sz w:val="20"/>
        </w:rPr>
        <w:t>pip install -r requirements.txt</w:t>
      </w:r>
    </w:p>
    <w:p>
      <w:pPr>
        <w:spacing w:after="120"/>
      </w:pPr>
      <w:r>
        <w:t>This reads a shopping list of everything the engine needs and downloads it automatically. It takes a few minutes and shows a lot of scrolling text — that's normal, just wait for it to finish.</w:t>
      </w:r>
    </w:p>
    <w:p>
      <w:pPr>
        <w:pStyle w:val="Heading2"/>
      </w:pPr>
      <w:r>
        <w:t>Step 9 — Start the engine (backend)</w:t>
      </w:r>
    </w:p>
    <w:p>
      <w:pPr>
        <w:spacing w:after="160"/>
        <w:ind w:left="288"/>
      </w:pPr>
      <w:r>
        <w:rPr>
          <w:rFonts w:ascii="Consolas" w:hAnsi="Consolas"/>
          <w:b/>
          <w:color w:val="6B2D88"/>
          <w:sz w:val="20"/>
        </w:rPr>
        <w:t>python -m uvicorn app.main:app --reload --port 8000</w:t>
      </w:r>
    </w:p>
    <w:p>
      <w:pPr>
        <w:spacing w:after="120"/>
      </w:pPr>
      <w:r>
        <w:t>Leave this terminal open and running — closing it stops the tool. You'll know it worked when the last line says something like “Application startup complete”.</w:t>
      </w:r>
    </w:p>
    <w:p>
      <w:pPr>
        <w:pStyle w:val="Heading2"/>
      </w:pPr>
      <w:r>
        <w:t>Step 10 — Open a second terminal for the website (frontend)</w:t>
      </w:r>
    </w:p>
    <w:p>
      <w:pPr>
        <w:spacing w:after="80"/>
      </w:pPr>
      <w:r>
        <w:t>The engine (Step 9) and the website need to run at the same time, in two separate terminals side by side.</w:t>
      </w:r>
    </w:p>
    <w:p>
      <w:pPr>
        <w:pStyle w:val="ListNumber"/>
        <w:spacing w:after="80"/>
      </w:pPr>
      <w:r>
        <w:t>Click the “+” icon in the terminal panel to open a second, new terminal (don't close the first one).</w:t>
      </w:r>
    </w:p>
    <w:p>
      <w:pPr>
        <w:pStyle w:val="ListNumber"/>
        <w:spacing w:after="80"/>
      </w:pPr>
      <w:r>
        <w:t>In the new terminal, move into the website's folder:</w:t>
      </w:r>
    </w:p>
    <w:p>
      <w:pPr>
        <w:spacing w:after="160"/>
        <w:ind w:left="288"/>
      </w:pPr>
      <w:r>
        <w:rPr>
          <w:rFonts w:ascii="Consolas" w:hAnsi="Consolas"/>
          <w:b/>
          <w:color w:val="6B2D88"/>
          <w:sz w:val="20"/>
        </w:rPr>
        <w:t>cd frontend</w:t>
      </w:r>
    </w:p>
    <w:p>
      <w:pPr>
        <w:pStyle w:val="Heading2"/>
      </w:pPr>
      <w:r>
        <w:t>Step 11 — Install the website's packages (one-time)</w:t>
      </w:r>
    </w:p>
    <w:p>
      <w:pPr>
        <w:spacing w:after="160"/>
        <w:ind w:left="288"/>
      </w:pPr>
      <w:r>
        <w:rPr>
          <w:rFonts w:ascii="Consolas" w:hAnsi="Consolas"/>
          <w:b/>
          <w:color w:val="6B2D88"/>
          <w:sz w:val="20"/>
        </w:rPr>
        <w:t>npm install</w:t>
      </w:r>
    </w:p>
    <w:p>
      <w:pPr>
        <w:spacing w:after="120"/>
      </w:pPr>
      <w:r>
        <w:t>This downloads everything the website screen needs into a folder called node_modules. The first time, it can take a few minutes and prints a lot of progress text — that's normal. You won't need to repeat this step unless you're told the project's packages have changed.</w:t>
      </w:r>
    </w:p>
    <w:p>
      <w:pPr>
        <w:pStyle w:val="Heading2"/>
      </w:pPr>
      <w:r>
        <w:t>Step 12 — Start the website</w:t>
      </w:r>
    </w:p>
    <w:p>
      <w:pPr>
        <w:spacing w:after="160"/>
        <w:ind w:left="288"/>
      </w:pPr>
      <w:r>
        <w:rPr>
          <w:rFonts w:ascii="Consolas" w:hAnsi="Consolas"/>
          <w:b/>
          <w:color w:val="6B2D88"/>
          <w:sz w:val="20"/>
        </w:rPr>
        <w:t>npm run dev</w:t>
      </w:r>
    </w:p>
    <w:p>
      <w:pPr>
        <w:spacing w:after="120"/>
      </w:pPr>
      <w:r>
        <w:t>After a few seconds you'll see a line similar to: Local:  http://localhost:5173/</w:t>
      </w:r>
    </w:p>
    <w:p>
      <w:pPr>
        <w:pStyle w:val="Heading2"/>
      </w:pPr>
      <w:r>
        <w:t>Step 13 — Open the tool in your browser</w:t>
      </w:r>
    </w:p>
    <w:p>
      <w:pPr>
        <w:pStyle w:val="ListNumber"/>
        <w:spacing w:after="80"/>
      </w:pPr>
      <w:r>
        <w:t>Hold Ctrl and click the http://localhost:5173/ link shown in the terminal (or copy it into Chrome / Edge).</w:t>
      </w:r>
    </w:p>
    <w:p>
      <w:pPr>
        <w:pStyle w:val="ListNumber"/>
        <w:spacing w:after="80"/>
      </w:pPr>
      <w:r>
        <w:t>The aCRF Annotation Engine screen loads. You're ready to upload a CRF PDF — continue to the next section below.</w:t>
      </w:r>
    </w:p>
    <w:p>
      <w:pPr>
        <w:pStyle w:val="Heading2"/>
      </w:pPr>
      <w:r>
        <w:t>Stopping the tool</w:t>
      </w:r>
    </w:p>
    <w:p>
      <w:pPr>
        <w:spacing w:after="120"/>
      </w:pPr>
      <w:r>
        <w:t>Click into each terminal and press Ctrl + C, then close VS Code. Nothing is lost — annotated PDFs and job history stay saved on the computer.</w:t>
      </w:r>
    </w:p>
    <w:p>
      <w:pPr>
        <w:pStyle w:val="Heading2"/>
      </w:pPr>
      <w:r>
        <w:t>Starting it again next time (quick version)</w:t>
      </w:r>
    </w:p>
    <w:p>
      <w:pPr>
        <w:spacing w:after="80"/>
      </w:pPr>
      <w:r>
        <w:t>Steps 1–4, 7 (create), 8, and 11 are one-time setup. Every time after that, you only need:</w:t>
      </w:r>
    </w:p>
    <w:p>
      <w:pPr>
        <w:pStyle w:val="ListNumber"/>
        <w:spacing w:after="80"/>
      </w:pPr>
      <w:r>
        <w:t>Open VS Code → File → Open Folder → the same acrf_tool folder.</w:t>
      </w:r>
    </w:p>
    <w:p>
      <w:pPr>
        <w:pStyle w:val="ListNumber"/>
        <w:spacing w:after="80"/>
      </w:pPr>
      <w:r>
        <w:t>Terminal 1 — activate and start the engine:</w:t>
      </w:r>
    </w:p>
    <w:p>
      <w:pPr>
        <w:spacing w:after="160"/>
        <w:ind w:left="288"/>
      </w:pPr>
      <w:r>
        <w:rPr>
          <w:rFonts w:ascii="Consolas" w:hAnsi="Consolas"/>
          <w:b/>
          <w:color w:val="6B2D88"/>
          <w:sz w:val="20"/>
        </w:rPr>
        <w:t>.\venv\Scripts\Activate.ps1</w:t>
      </w:r>
    </w:p>
    <w:p>
      <w:pPr>
        <w:spacing w:after="160"/>
        <w:ind w:left="288"/>
      </w:pPr>
      <w:r>
        <w:rPr>
          <w:rFonts w:ascii="Consolas" w:hAnsi="Consolas"/>
          <w:b/>
          <w:color w:val="6B2D88"/>
          <w:sz w:val="20"/>
        </w:rPr>
        <w:t>python -m uvicorn app.main:app --reload --port 8000</w:t>
      </w:r>
    </w:p>
    <w:p>
      <w:pPr>
        <w:pStyle w:val="ListNumber"/>
        <w:spacing w:after="80"/>
      </w:pPr>
      <w:r>
        <w:t>Terminal 2 (click “+” for a new one) — start the website:</w:t>
      </w:r>
    </w:p>
    <w:p>
      <w:pPr>
        <w:spacing w:after="160"/>
        <w:ind w:left="288"/>
      </w:pPr>
      <w:r>
        <w:rPr>
          <w:rFonts w:ascii="Consolas" w:hAnsi="Consolas"/>
          <w:b/>
          <w:color w:val="6B2D88"/>
          <w:sz w:val="20"/>
        </w:rPr>
        <w:t>cd frontend</w:t>
      </w:r>
    </w:p>
    <w:p>
      <w:pPr>
        <w:spacing w:after="160"/>
        <w:ind w:left="288"/>
      </w:pPr>
      <w:r>
        <w:rPr>
          <w:rFonts w:ascii="Consolas" w:hAnsi="Consolas"/>
          <w:b/>
          <w:color w:val="6B2D88"/>
          <w:sz w:val="20"/>
        </w:rPr>
        <w:t>npm run dev</w:t>
      </w:r>
    </w:p>
    <w:p>
      <w:pPr>
        <w:pStyle w:val="ListNumber"/>
        <w:spacing w:after="80"/>
      </w:pPr>
      <w:r>
        <w:t>Open http://localhost:5173 in your browser.</w:t>
      </w:r>
    </w:p>
    <w:p>
      <w:pPr>
        <w:pStyle w:val="Heading2"/>
      </w:pPr>
      <w:r>
        <w:t>If something goes wrong</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What you see</w:t>
            </w:r>
          </w:p>
        </w:tc>
        <w:tc>
          <w:tcPr>
            <w:tcW w:type="dxa" w:w="5616"/>
          </w:tcPr>
          <w:p>
            <w:r>
              <w:rPr>
                <w:b/>
              </w:rPr>
              <w:t>What to do</w:t>
            </w:r>
          </w:p>
        </w:tc>
      </w:tr>
      <w:tr>
        <w:tc>
          <w:tcPr>
            <w:tcW w:type="dxa" w:w="3312"/>
          </w:tcPr>
          <w:p>
            <w:r>
              <w:rPr>
                <w:b/>
              </w:rPr>
              <w:t>“python is not recognized”</w:t>
            </w:r>
          </w:p>
        </w:tc>
        <w:tc>
          <w:tcPr>
            <w:tcW w:type="dxa" w:w="5616"/>
          </w:tcPr>
          <w:p>
            <w:r>
              <w:t>Python wasn't added to PATH during install. Reinstall Python and tick “Add python.exe to PATH”, or ask IT to do this for you.</w:t>
            </w:r>
          </w:p>
        </w:tc>
      </w:tr>
      <w:tr>
        <w:tc>
          <w:tcPr>
            <w:tcW w:type="dxa" w:w="3312"/>
          </w:tcPr>
          <w:p>
            <w:r>
              <w:rPr>
                <w:b/>
              </w:rPr>
              <w:t>“npm is not recognized”</w:t>
            </w:r>
          </w:p>
        </w:tc>
        <w:tc>
          <w:tcPr>
            <w:tcW w:type="dxa" w:w="5616"/>
          </w:tcPr>
          <w:p>
            <w:r>
              <w:t>Node.js isn't installed yet, or VS Code needs restarting after installing it — close VS Code fully and reopen it.</w:t>
            </w:r>
          </w:p>
        </w:tc>
      </w:tr>
      <w:tr>
        <w:tc>
          <w:tcPr>
            <w:tcW w:type="dxa" w:w="3312"/>
          </w:tcPr>
          <w:p>
            <w:r>
              <w:rPr>
                <w:b/>
              </w:rPr>
              <w:t>“running scripts is disabled on this system” (when activating the venv)</w:t>
            </w:r>
          </w:p>
        </w:tc>
        <w:tc>
          <w:tcPr>
            <w:tcW w:type="dxa" w:w="5616"/>
          </w:tcPr>
          <w:p>
            <w:r>
              <w:t>Type Set-ExecutionPolicy -Scope Process -ExecutionPolicy Bypass, press Enter, then try the activate line again.</w:t>
            </w:r>
          </w:p>
        </w:tc>
      </w:tr>
      <w:tr>
        <w:tc>
          <w:tcPr>
            <w:tcW w:type="dxa" w:w="3312"/>
          </w:tcPr>
          <w:p>
            <w:r>
              <w:rPr>
                <w:b/>
              </w:rPr>
              <w:t>Port 8000 or 5173 already in use</w:t>
            </w:r>
          </w:p>
        </w:tc>
        <w:tc>
          <w:tcPr>
            <w:tcW w:type="dxa" w:w="5616"/>
          </w:tcPr>
          <w:p>
            <w:r>
              <w:t>The tool is probably already running in another terminal or window. Close old terminals, or restart the computer, then try again.</w:t>
            </w:r>
          </w:p>
        </w:tc>
      </w:tr>
      <w:tr>
        <w:tc>
          <w:tcPr>
            <w:tcW w:type="dxa" w:w="3312"/>
          </w:tcPr>
          <w:p>
            <w:r>
              <w:rPr>
                <w:b/>
              </w:rPr>
              <w:t>Browser shows nothing at localhost:5173</w:t>
            </w:r>
          </w:p>
        </w:tc>
        <w:tc>
          <w:tcPr>
            <w:tcW w:type="dxa" w:w="5616"/>
          </w:tcPr>
          <w:p>
            <w:r>
              <w:t>Check both terminals are still open with no red error text — one must be running the engine (Step 9), the other the website (Step 12).</w:t>
            </w:r>
          </w:p>
        </w:tc>
      </w:tr>
      <w:tr>
        <w:tc>
          <w:tcPr>
            <w:tcW w:type="dxa" w:w="3312"/>
          </w:tcPr>
          <w:p>
            <w:r>
              <w:rPr>
                <w:b/>
              </w:rPr>
              <w:t>The acrf_tool folder looks empty or incomplete</w:t>
            </w:r>
          </w:p>
        </w:tc>
        <w:tc>
          <w:tcPr>
            <w:tcW w:type="dxa" w:w="5616"/>
          </w:tcPr>
          <w:p>
            <w:r>
              <w:t>OneDrive hasn't finished syncing. Right-click the folder in File Explorer and choose “Always keep on this device”, then wait.</w:t>
            </w:r>
          </w:p>
        </w:tc>
      </w:tr>
    </w:tbl>
    <w:p>
      <w:pPr>
        <w:spacing w:after="40"/>
      </w:pPr>
    </w:p>
    <w:p>
      <w:r>
        <w:br w:type="page"/>
      </w:r>
    </w:p>
    <w:p w14:paraId="0A383962" w14:textId="3881A092" w:rsidR="00693CEB" w:rsidRPr="00B30FBD" w:rsidRDefault="00D767E0" w:rsidP="00693CEB">
      <w:pPr>
        <w:pStyle w:val="Heading1"/>
        <w:rPr>
          <w:sz w:val="26"/>
          <w:szCs w:val="26"/>
        </w:rPr>
      </w:pPr>
      <w:r w:rsidRPr="00B30FBD">
        <w:rPr>
          <w:sz w:val="26"/>
          <w:szCs w:val="26"/>
        </w:rPr>
        <w:t xml:space="preserve">1. </w:t>
      </w:r>
      <w:r w:rsidR="00693CEB" w:rsidRPr="00B30FBD">
        <w:rPr>
          <w:sz w:val="26"/>
          <w:szCs w:val="26"/>
        </w:rPr>
        <w:t>How it works</w:t>
      </w:r>
    </w:p>
    <w:p w14:paraId="2E4B597F" w14:textId="5CF5A8DB" w:rsidR="00812CFB" w:rsidRPr="00812CFB" w:rsidRDefault="00812CFB" w:rsidP="00812CFB">
      <w:pPr>
        <w:pStyle w:val="ListBullet"/>
        <w:rPr>
          <w:lang w:val="en-IN" w:eastAsia="en-IN"/>
        </w:rPr>
      </w:pPr>
      <w:r w:rsidRPr="00812CFB">
        <w:rPr>
          <w:b/>
          <w:bCs/>
          <w:lang w:val="en-IN" w:eastAsia="en-IN"/>
        </w:rPr>
        <w:t>Upload</w:t>
      </w:r>
      <w:r w:rsidRPr="00812CFB">
        <w:rPr>
          <w:lang w:val="en-IN" w:eastAsia="en-IN"/>
        </w:rPr>
        <w:t> — accepts any standard AZ-EDC CRF export (Blank, RSG, or DB format) — no pre-cleaning required</w:t>
      </w:r>
      <w:r>
        <w:rPr>
          <w:lang w:val="en-IN" w:eastAsia="en-IN"/>
        </w:rPr>
        <w:t>.</w:t>
      </w:r>
    </w:p>
    <w:p w14:paraId="1BB52A8A" w14:textId="77777777" w:rsidR="00812CFB" w:rsidRPr="00812CFB" w:rsidRDefault="00812CFB" w:rsidP="00812CFB">
      <w:pPr>
        <w:pStyle w:val="ListBullet"/>
        <w:rPr>
          <w:lang w:val="en-IN" w:eastAsia="en-IN"/>
        </w:rPr>
      </w:pPr>
      <w:r w:rsidRPr="00812CFB">
        <w:rPr>
          <w:b/>
          <w:bCs/>
          <w:lang w:val="en-IN" w:eastAsia="en-IN"/>
        </w:rPr>
        <w:t>Extract</w:t>
      </w:r>
      <w:r w:rsidRPr="00812CFB">
        <w:rPr>
          <w:lang w:val="en-IN" w:eastAsia="en-IN"/>
        </w:rPr>
        <w:t> — reads every page to identify forms, visits, and collected fields, filtering out non-collected noise.</w:t>
      </w:r>
    </w:p>
    <w:p w14:paraId="102DBBF7" w14:textId="77777777" w:rsidR="00812CFB" w:rsidRPr="00812CFB" w:rsidRDefault="00812CFB" w:rsidP="00812CFB">
      <w:pPr>
        <w:pStyle w:val="ListBullet"/>
        <w:rPr>
          <w:lang w:val="en-IN" w:eastAsia="en-IN"/>
        </w:rPr>
      </w:pPr>
      <w:r w:rsidRPr="00812CFB">
        <w:rPr>
          <w:b/>
          <w:bCs/>
          <w:lang w:val="en-IN" w:eastAsia="en-IN"/>
        </w:rPr>
        <w:t>Map</w:t>
      </w:r>
      <w:r w:rsidRPr="00812CFB">
        <w:rPr>
          <w:lang w:val="en-IN" w:eastAsia="en-IN"/>
        </w:rPr>
        <w:t xml:space="preserve"> — resolves each field to its SDTM domain, variable, </w:t>
      </w:r>
      <w:proofErr w:type="spellStart"/>
      <w:r w:rsidRPr="00812CFB">
        <w:rPr>
          <w:lang w:val="en-IN" w:eastAsia="en-IN"/>
        </w:rPr>
        <w:t>codelist</w:t>
      </w:r>
      <w:proofErr w:type="spellEnd"/>
      <w:r w:rsidRPr="00812CFB">
        <w:rPr>
          <w:lang w:val="en-IN" w:eastAsia="en-IN"/>
        </w:rPr>
        <w:t>, and qualifier, with a confidence score and supplemental-dataset support.</w:t>
      </w:r>
    </w:p>
    <w:p w14:paraId="58E199B4" w14:textId="2DA9F8F0" w:rsidR="00693CEB" w:rsidRPr="00812CFB" w:rsidRDefault="00812CFB" w:rsidP="00812CFB">
      <w:pPr>
        <w:pStyle w:val="ListBullet"/>
        <w:rPr>
          <w:lang w:val="en-IN" w:eastAsia="en-IN"/>
        </w:rPr>
      </w:pPr>
      <w:r w:rsidRPr="00812CFB">
        <w:rPr>
          <w:b/>
          <w:bCs/>
          <w:lang w:val="en-IN" w:eastAsia="en-IN"/>
        </w:rPr>
        <w:t>Output</w:t>
      </w:r>
      <w:r w:rsidRPr="00812CFB">
        <w:rPr>
          <w:lang w:val="en-IN" w:eastAsia="en-IN"/>
        </w:rPr>
        <w:t> — produces a colour-coded, MSG-compliant annotated PDF plus a CSV traceability file.</w:t>
      </w:r>
    </w:p>
    <w:p w14:paraId="2CF49D8F" w14:textId="64342AE5" w:rsidR="002964C4" w:rsidRDefault="00812CFB">
      <w:pPr>
        <w:jc w:val="center"/>
      </w:pPr>
      <w:r w:rsidRPr="00812CFB">
        <w:rPr>
          <w:noProof/>
        </w:rPr>
        <w:drawing>
          <wp:inline distT="0" distB="0" distL="0" distR="0" wp14:anchorId="0EA6FC89" wp14:editId="6EEC4E0A">
            <wp:extent cx="5626620" cy="3042285"/>
            <wp:effectExtent l="0" t="0" r="0" b="5715"/>
            <wp:docPr id="78196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5984" name=""/>
                    <pic:cNvPicPr/>
                  </pic:nvPicPr>
                  <pic:blipFill>
                    <a:blip r:embed="rId6"/>
                    <a:stretch>
                      <a:fillRect/>
                    </a:stretch>
                  </pic:blipFill>
                  <pic:spPr>
                    <a:xfrm>
                      <a:off x="0" y="0"/>
                      <a:ext cx="5691527" cy="3077380"/>
                    </a:xfrm>
                    <a:prstGeom prst="rect">
                      <a:avLst/>
                    </a:prstGeom>
                  </pic:spPr>
                </pic:pic>
              </a:graphicData>
            </a:graphic>
          </wp:inline>
        </w:drawing>
      </w:r>
    </w:p>
    <w:p w14:paraId="3F4D5369" w14:textId="77777777" w:rsidR="002964C4" w:rsidRDefault="00000000">
      <w:pPr>
        <w:spacing w:after="160"/>
        <w:jc w:val="center"/>
      </w:pPr>
      <w:r>
        <w:rPr>
          <w:i/>
          <w:color w:val="6B6B6B"/>
          <w:sz w:val="17"/>
        </w:rPr>
        <w:t>Figure: Upload screen — drag-and-drop with a five-step summary of the pipeline.</w:t>
      </w:r>
    </w:p>
    <w:p w14:paraId="1485C288" w14:textId="494EC932" w:rsidR="002964C4" w:rsidRPr="00B30FBD" w:rsidRDefault="00000000">
      <w:pPr>
        <w:pStyle w:val="Heading1"/>
        <w:rPr>
          <w:sz w:val="26"/>
          <w:szCs w:val="26"/>
        </w:rPr>
      </w:pPr>
      <w:r w:rsidRPr="00B30FBD">
        <w:rPr>
          <w:sz w:val="26"/>
          <w:szCs w:val="26"/>
        </w:rPr>
        <w:t>2</w:t>
      </w:r>
      <w:r w:rsidR="00A831F4" w:rsidRPr="00B30FBD">
        <w:rPr>
          <w:sz w:val="26"/>
          <w:szCs w:val="26"/>
        </w:rPr>
        <w:t>. Reading</w:t>
      </w:r>
      <w:r w:rsidRPr="00B30FBD">
        <w:rPr>
          <w:sz w:val="26"/>
          <w:szCs w:val="26"/>
        </w:rPr>
        <w:t xml:space="preserve"> the results dashboard</w:t>
      </w:r>
    </w:p>
    <w:p w14:paraId="6A8497A5" w14:textId="40402804" w:rsidR="002964C4" w:rsidRDefault="00D767E0">
      <w:pPr>
        <w:spacing w:after="120"/>
      </w:pPr>
      <w:r w:rsidRPr="00D767E0">
        <w:t>Processing takes 30–90 seconds. The job page shows four summary cards:</w:t>
      </w:r>
    </w:p>
    <w:tbl>
      <w:tblPr>
        <w:tblStyle w:val="LightGrid-Accent1"/>
        <w:tblW w:w="0" w:type="auto"/>
        <w:jc w:val="center"/>
        <w:tblLook w:val="04A0" w:firstRow="1" w:lastRow="0" w:firstColumn="1" w:lastColumn="0" w:noHBand="0" w:noVBand="1"/>
      </w:tblPr>
      <w:tblGrid>
        <w:gridCol w:w="4968"/>
        <w:gridCol w:w="4968"/>
      </w:tblGrid>
      <w:tr w:rsidR="002964C4" w:rsidRPr="00B30FBD" w14:paraId="588B3DE3" w14:textId="77777777" w:rsidTr="002964C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7BBA96A4" w14:textId="77777777" w:rsidR="002964C4" w:rsidRPr="00B30FBD" w:rsidRDefault="00000000">
            <w:pPr>
              <w:rPr>
                <w:sz w:val="18"/>
                <w:szCs w:val="18"/>
              </w:rPr>
            </w:pPr>
            <w:r w:rsidRPr="00B30FBD">
              <w:rPr>
                <w:sz w:val="18"/>
                <w:szCs w:val="18"/>
              </w:rPr>
              <w:t>Metric</w:t>
            </w:r>
          </w:p>
        </w:tc>
        <w:tc>
          <w:tcPr>
            <w:tcW w:w="4968" w:type="dxa"/>
          </w:tcPr>
          <w:p w14:paraId="4031FB87" w14:textId="77777777" w:rsidR="002964C4" w:rsidRPr="00B30FBD" w:rsidRDefault="00000000">
            <w:pPr>
              <w:cnfStyle w:val="100000000000" w:firstRow="1" w:lastRow="0" w:firstColumn="0" w:lastColumn="0" w:oddVBand="0" w:evenVBand="0" w:oddHBand="0" w:evenHBand="0" w:firstRowFirstColumn="0" w:firstRowLastColumn="0" w:lastRowFirstColumn="0" w:lastRowLastColumn="0"/>
              <w:rPr>
                <w:sz w:val="18"/>
                <w:szCs w:val="18"/>
              </w:rPr>
            </w:pPr>
            <w:r w:rsidRPr="00B30FBD">
              <w:rPr>
                <w:sz w:val="18"/>
                <w:szCs w:val="18"/>
              </w:rPr>
              <w:t>What it tells you</w:t>
            </w:r>
          </w:p>
        </w:tc>
      </w:tr>
      <w:tr w:rsidR="002964C4" w:rsidRPr="00B30FBD" w14:paraId="615B0EDE" w14:textId="77777777" w:rsidTr="002964C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70D2111E" w14:textId="77777777" w:rsidR="002964C4" w:rsidRPr="00B30FBD" w:rsidRDefault="00000000">
            <w:pPr>
              <w:rPr>
                <w:sz w:val="18"/>
                <w:szCs w:val="18"/>
              </w:rPr>
            </w:pPr>
            <w:r w:rsidRPr="00B30FBD">
              <w:rPr>
                <w:sz w:val="18"/>
                <w:szCs w:val="18"/>
              </w:rPr>
              <w:t>Resolution Rate</w:t>
            </w:r>
          </w:p>
        </w:tc>
        <w:tc>
          <w:tcPr>
            <w:tcW w:w="4968" w:type="dxa"/>
          </w:tcPr>
          <w:p w14:paraId="45E79C11" w14:textId="660A6B8B" w:rsidR="002964C4" w:rsidRPr="00B30FBD" w:rsidRDefault="00D767E0">
            <w:pPr>
              <w:cnfStyle w:val="000000100000" w:firstRow="0" w:lastRow="0" w:firstColumn="0" w:lastColumn="0" w:oddVBand="0" w:evenVBand="0" w:oddHBand="1" w:evenHBand="0" w:firstRowFirstColumn="0" w:firstRowLastColumn="0" w:lastRowFirstColumn="0" w:lastRowLastColumn="0"/>
              <w:rPr>
                <w:sz w:val="18"/>
                <w:szCs w:val="18"/>
              </w:rPr>
            </w:pPr>
            <w:r w:rsidRPr="00B30FBD">
              <w:rPr>
                <w:sz w:val="18"/>
                <w:szCs w:val="18"/>
              </w:rPr>
              <w:t>Share of fields mapped to an SDTM variable (or marked NOT SUBMITTED)</w:t>
            </w:r>
          </w:p>
        </w:tc>
      </w:tr>
      <w:tr w:rsidR="002964C4" w:rsidRPr="00B30FBD" w14:paraId="61CE8D3C" w14:textId="77777777" w:rsidTr="002964C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7D563A8E" w14:textId="77777777" w:rsidR="002964C4" w:rsidRPr="00B30FBD" w:rsidRDefault="00000000">
            <w:pPr>
              <w:rPr>
                <w:sz w:val="18"/>
                <w:szCs w:val="18"/>
              </w:rPr>
            </w:pPr>
            <w:r w:rsidRPr="00B30FBD">
              <w:rPr>
                <w:sz w:val="18"/>
                <w:szCs w:val="18"/>
              </w:rPr>
              <w:t>Annotations Written</w:t>
            </w:r>
          </w:p>
        </w:tc>
        <w:tc>
          <w:tcPr>
            <w:tcW w:w="4968" w:type="dxa"/>
          </w:tcPr>
          <w:p w14:paraId="7011469B" w14:textId="289FA1B5" w:rsidR="002964C4" w:rsidRPr="00B30FBD" w:rsidRDefault="00D767E0">
            <w:pPr>
              <w:cnfStyle w:val="000000010000" w:firstRow="0" w:lastRow="0" w:firstColumn="0" w:lastColumn="0" w:oddVBand="0" w:evenVBand="0" w:oddHBand="0" w:evenHBand="1" w:firstRowFirstColumn="0" w:firstRowLastColumn="0" w:lastRowFirstColumn="0" w:lastRowLastColumn="0"/>
              <w:rPr>
                <w:sz w:val="18"/>
                <w:szCs w:val="18"/>
              </w:rPr>
            </w:pPr>
            <w:r w:rsidRPr="00B30FBD">
              <w:rPr>
                <w:sz w:val="18"/>
                <w:szCs w:val="18"/>
              </w:rPr>
              <w:t>Annotation boxes placed in the output PDF</w:t>
            </w:r>
          </w:p>
        </w:tc>
      </w:tr>
      <w:tr w:rsidR="002964C4" w:rsidRPr="00B30FBD" w14:paraId="789A3E3D" w14:textId="77777777" w:rsidTr="002964C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4C0D2A69" w14:textId="77777777" w:rsidR="002964C4" w:rsidRPr="00B30FBD" w:rsidRDefault="00000000">
            <w:pPr>
              <w:rPr>
                <w:sz w:val="18"/>
                <w:szCs w:val="18"/>
              </w:rPr>
            </w:pPr>
            <w:r w:rsidRPr="00B30FBD">
              <w:rPr>
                <w:sz w:val="18"/>
                <w:szCs w:val="18"/>
              </w:rPr>
              <w:t>Fields Extracted</w:t>
            </w:r>
          </w:p>
        </w:tc>
        <w:tc>
          <w:tcPr>
            <w:tcW w:w="4968" w:type="dxa"/>
          </w:tcPr>
          <w:p w14:paraId="3020E266" w14:textId="72708235" w:rsidR="002964C4" w:rsidRPr="00B30FBD" w:rsidRDefault="00D767E0">
            <w:pPr>
              <w:cnfStyle w:val="000000100000" w:firstRow="0" w:lastRow="0" w:firstColumn="0" w:lastColumn="0" w:oddVBand="0" w:evenVBand="0" w:oddHBand="1" w:evenHBand="0" w:firstRowFirstColumn="0" w:firstRowLastColumn="0" w:lastRowFirstColumn="0" w:lastRowLastColumn="0"/>
              <w:rPr>
                <w:sz w:val="18"/>
                <w:szCs w:val="18"/>
              </w:rPr>
            </w:pPr>
            <w:r w:rsidRPr="00B30FBD">
              <w:rPr>
                <w:sz w:val="18"/>
                <w:szCs w:val="18"/>
              </w:rPr>
              <w:t>Total fields read from the CRF vs. dropped as noise</w:t>
            </w:r>
          </w:p>
        </w:tc>
      </w:tr>
      <w:tr w:rsidR="002964C4" w:rsidRPr="00B30FBD" w14:paraId="58DFF7B9" w14:textId="77777777" w:rsidTr="002964C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5052AC89" w14:textId="77777777" w:rsidR="002964C4" w:rsidRPr="00B30FBD" w:rsidRDefault="00000000">
            <w:pPr>
              <w:rPr>
                <w:sz w:val="18"/>
                <w:szCs w:val="18"/>
              </w:rPr>
            </w:pPr>
            <w:r w:rsidRPr="00B30FBD">
              <w:rPr>
                <w:sz w:val="18"/>
                <w:szCs w:val="18"/>
              </w:rPr>
              <w:t>Unique Forms</w:t>
            </w:r>
          </w:p>
        </w:tc>
        <w:tc>
          <w:tcPr>
            <w:tcW w:w="4968" w:type="dxa"/>
          </w:tcPr>
          <w:p w14:paraId="0EB1DFB6" w14:textId="2FDE884B" w:rsidR="002964C4" w:rsidRPr="00B30FBD" w:rsidRDefault="00D767E0">
            <w:pPr>
              <w:cnfStyle w:val="000000010000" w:firstRow="0" w:lastRow="0" w:firstColumn="0" w:lastColumn="0" w:oddVBand="0" w:evenVBand="0" w:oddHBand="0" w:evenHBand="1" w:firstRowFirstColumn="0" w:firstRowLastColumn="0" w:lastRowFirstColumn="0" w:lastRowLastColumn="0"/>
              <w:rPr>
                <w:sz w:val="18"/>
                <w:szCs w:val="18"/>
              </w:rPr>
            </w:pPr>
            <w:r w:rsidRPr="00B30FBD">
              <w:rPr>
                <w:sz w:val="18"/>
                <w:szCs w:val="18"/>
              </w:rPr>
              <w:t>Distinct CRF form types detected</w:t>
            </w:r>
          </w:p>
        </w:tc>
      </w:tr>
    </w:tbl>
    <w:p w14:paraId="232F4D4D" w14:textId="77777777" w:rsidR="002964C4" w:rsidRDefault="002964C4">
      <w:pPr>
        <w:spacing w:after="80"/>
      </w:pPr>
    </w:p>
    <w:p w14:paraId="66B9ECE9" w14:textId="77777777" w:rsidR="00D767E0" w:rsidRDefault="00D767E0" w:rsidP="00D767E0">
      <w:r w:rsidRPr="00D767E0">
        <w:lastRenderedPageBreak/>
        <w:t>The Resolution Tier Breakdown shows how each mapping was decided — High Confidence, SDTM Standards, Standards Lookup, Not Submitted, or Unresolved. Higher tiers need less review.</w:t>
      </w:r>
    </w:p>
    <w:p w14:paraId="079170CF" w14:textId="6CE3A212" w:rsidR="002964C4" w:rsidRDefault="00812CFB" w:rsidP="00D767E0">
      <w:pPr>
        <w:jc w:val="center"/>
      </w:pPr>
      <w:r w:rsidRPr="00812CFB">
        <w:rPr>
          <w:noProof/>
        </w:rPr>
        <w:drawing>
          <wp:inline distT="0" distB="0" distL="0" distR="0" wp14:anchorId="026394EC" wp14:editId="6AFB5491">
            <wp:extent cx="5742754" cy="2988128"/>
            <wp:effectExtent l="0" t="0" r="0" b="3175"/>
            <wp:docPr id="33054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4409" name=""/>
                    <pic:cNvPicPr/>
                  </pic:nvPicPr>
                  <pic:blipFill>
                    <a:blip r:embed="rId7"/>
                    <a:stretch>
                      <a:fillRect/>
                    </a:stretch>
                  </pic:blipFill>
                  <pic:spPr>
                    <a:xfrm>
                      <a:off x="0" y="0"/>
                      <a:ext cx="5758406" cy="2996272"/>
                    </a:xfrm>
                    <a:prstGeom prst="rect">
                      <a:avLst/>
                    </a:prstGeom>
                  </pic:spPr>
                </pic:pic>
              </a:graphicData>
            </a:graphic>
          </wp:inline>
        </w:drawing>
      </w:r>
    </w:p>
    <w:p w14:paraId="71A1690C" w14:textId="588A3386" w:rsidR="002964C4" w:rsidRDefault="00000000">
      <w:pPr>
        <w:spacing w:after="160"/>
        <w:jc w:val="center"/>
      </w:pPr>
      <w:r>
        <w:rPr>
          <w:i/>
          <w:color w:val="6B6B6B"/>
          <w:sz w:val="17"/>
        </w:rPr>
        <w:t xml:space="preserve">Figure: Job dashboard — quality metrics, resolution </w:t>
      </w:r>
      <w:r w:rsidR="0094215A">
        <w:rPr>
          <w:i/>
          <w:color w:val="6B6B6B"/>
          <w:sz w:val="17"/>
        </w:rPr>
        <w:t>rate</w:t>
      </w:r>
      <w:r>
        <w:rPr>
          <w:i/>
          <w:color w:val="6B6B6B"/>
          <w:sz w:val="17"/>
        </w:rPr>
        <w:t>,</w:t>
      </w:r>
      <w:r w:rsidR="0094215A">
        <w:rPr>
          <w:i/>
          <w:color w:val="6B6B6B"/>
          <w:sz w:val="17"/>
        </w:rPr>
        <w:t xml:space="preserve"> and</w:t>
      </w:r>
      <w:r>
        <w:rPr>
          <w:i/>
          <w:color w:val="6B6B6B"/>
          <w:sz w:val="17"/>
        </w:rPr>
        <w:t xml:space="preserve"> tier breakdown.</w:t>
      </w:r>
    </w:p>
    <w:p w14:paraId="5847E5DF" w14:textId="7DD44105" w:rsidR="002964C4" w:rsidRPr="00B30FBD" w:rsidRDefault="00000000">
      <w:pPr>
        <w:pStyle w:val="Heading1"/>
        <w:rPr>
          <w:sz w:val="26"/>
          <w:szCs w:val="26"/>
        </w:rPr>
      </w:pPr>
      <w:r w:rsidRPr="00B30FBD">
        <w:rPr>
          <w:sz w:val="26"/>
          <w:szCs w:val="26"/>
        </w:rPr>
        <w:t>3</w:t>
      </w:r>
      <w:r w:rsidR="009E721C" w:rsidRPr="00B30FBD">
        <w:rPr>
          <w:sz w:val="26"/>
          <w:szCs w:val="26"/>
        </w:rPr>
        <w:t>. Field</w:t>
      </w:r>
      <w:r w:rsidRPr="00B30FBD">
        <w:rPr>
          <w:sz w:val="26"/>
          <w:szCs w:val="26"/>
        </w:rPr>
        <w:t>-mappings table</w:t>
      </w:r>
    </w:p>
    <w:p w14:paraId="594A873C" w14:textId="476BCA29" w:rsidR="002964C4" w:rsidRDefault="009E721C">
      <w:pPr>
        <w:spacing w:after="120"/>
      </w:pPr>
      <w:r w:rsidRPr="009E721C">
        <w:t>Every extracted field is listed with its CRF label, SDTM annotation, domain, variable, and confidence score. Two tabs split the view: </w:t>
      </w:r>
      <w:r w:rsidRPr="009E721C">
        <w:rPr>
          <w:b/>
          <w:bCs/>
        </w:rPr>
        <w:t>Resolved</w:t>
      </w:r>
      <w:r w:rsidRPr="009E721C">
        <w:t> and </w:t>
      </w:r>
      <w:r w:rsidRPr="009E721C">
        <w:rPr>
          <w:b/>
          <w:bCs/>
        </w:rPr>
        <w:t>Unresolved</w:t>
      </w:r>
      <w:r w:rsidRPr="009E721C">
        <w:t> (fields needing attention</w:t>
      </w:r>
      <w:r>
        <w:t xml:space="preserve">). </w:t>
      </w:r>
    </w:p>
    <w:p w14:paraId="0BA3B280" w14:textId="4A93541E" w:rsidR="00817865" w:rsidRDefault="00817865">
      <w:pPr>
        <w:spacing w:after="120"/>
      </w:pPr>
      <w:r w:rsidRPr="00817865">
        <w:t>Filter by free-text search, form name, SDTM class, or confidence threshold (≥90 / ≥95 / ≥98%) to focus review on the weakest mappings first.</w:t>
      </w:r>
    </w:p>
    <w:p w14:paraId="60E9CE5E" w14:textId="01B3C439" w:rsidR="002964C4" w:rsidRDefault="00656B7A">
      <w:pPr>
        <w:jc w:val="center"/>
      </w:pPr>
      <w:r>
        <w:rPr>
          <w:noProof/>
        </w:rPr>
        <w:drawing>
          <wp:inline distT="0" distB="0" distL="0" distR="0" wp14:anchorId="45A42670" wp14:editId="0E7FC6BC">
            <wp:extent cx="5486400" cy="2966357"/>
            <wp:effectExtent l="0" t="0" r="0" b="5715"/>
            <wp:docPr id="16228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7213" name=""/>
                    <pic:cNvPicPr/>
                  </pic:nvPicPr>
                  <pic:blipFill>
                    <a:blip r:embed="rId8"/>
                    <a:stretch>
                      <a:fillRect/>
                    </a:stretch>
                  </pic:blipFill>
                  <pic:spPr>
                    <a:xfrm>
                      <a:off x="0" y="0"/>
                      <a:ext cx="5568000" cy="3010476"/>
                    </a:xfrm>
                    <a:prstGeom prst="rect">
                      <a:avLst/>
                    </a:prstGeom>
                  </pic:spPr>
                </pic:pic>
              </a:graphicData>
            </a:graphic>
          </wp:inline>
        </w:drawing>
      </w:r>
    </w:p>
    <w:p w14:paraId="049ED474" w14:textId="097D653D" w:rsidR="002964C4" w:rsidRDefault="00000000">
      <w:pPr>
        <w:spacing w:after="160"/>
        <w:jc w:val="center"/>
      </w:pPr>
      <w:r>
        <w:rPr>
          <w:i/>
          <w:color w:val="6B6B6B"/>
          <w:sz w:val="17"/>
        </w:rPr>
        <w:t xml:space="preserve">Figure: </w:t>
      </w:r>
      <w:r w:rsidR="00BF1B94" w:rsidRPr="00BF1B94">
        <w:rPr>
          <w:i/>
          <w:iCs/>
          <w:color w:val="6B6B6B"/>
          <w:sz w:val="17"/>
        </w:rPr>
        <w:t>Field-mappings table with confidence scores, filters, and Resolved/Unresolved tabs.</w:t>
      </w:r>
    </w:p>
    <w:p w14:paraId="5C49139F" w14:textId="652B8BA8" w:rsidR="002964C4" w:rsidRPr="00B30FBD" w:rsidRDefault="00000000">
      <w:pPr>
        <w:pStyle w:val="Heading1"/>
        <w:rPr>
          <w:sz w:val="26"/>
          <w:szCs w:val="26"/>
        </w:rPr>
      </w:pPr>
      <w:r w:rsidRPr="00B30FBD">
        <w:rPr>
          <w:sz w:val="26"/>
          <w:szCs w:val="26"/>
        </w:rPr>
        <w:lastRenderedPageBreak/>
        <w:t>4</w:t>
      </w:r>
      <w:r w:rsidR="00BE2E4A" w:rsidRPr="00B30FBD">
        <w:rPr>
          <w:sz w:val="26"/>
          <w:szCs w:val="26"/>
        </w:rPr>
        <w:t>. Correcting</w:t>
      </w:r>
      <w:r w:rsidRPr="00B30FBD">
        <w:rPr>
          <w:sz w:val="26"/>
          <w:szCs w:val="26"/>
        </w:rPr>
        <w:t xml:space="preserve"> and regenerating</w:t>
      </w:r>
    </w:p>
    <w:p w14:paraId="59C0F498" w14:textId="12744E89" w:rsidR="002964C4" w:rsidRDefault="00BE2E4A">
      <w:pPr>
        <w:spacing w:after="120"/>
      </w:pPr>
      <w:r w:rsidRPr="00BE2E4A">
        <w:t>Click the pencil icon on any row to edit its annotation (comma-separate multiple variables on one field). Stage edits with Enter — nothing commits until you click </w:t>
      </w:r>
      <w:r w:rsidRPr="00BE2E4A">
        <w:rPr>
          <w:b/>
          <w:bCs/>
        </w:rPr>
        <w:t>Save &amp; Regenerate PDF</w:t>
      </w:r>
      <w:r w:rsidRPr="00BE2E4A">
        <w:t>, which rewrites the output with your corrections.</w:t>
      </w:r>
      <w:r>
        <w:t xml:space="preserve"> </w:t>
      </w:r>
    </w:p>
    <w:p w14:paraId="1211D915" w14:textId="44C7D55C" w:rsidR="009C7055" w:rsidRDefault="009C7055" w:rsidP="009C7055">
      <w:pPr>
        <w:spacing w:after="120"/>
        <w:jc w:val="center"/>
      </w:pPr>
      <w:r w:rsidRPr="009C7055">
        <w:drawing>
          <wp:inline distT="0" distB="0" distL="0" distR="0" wp14:anchorId="41510B3B" wp14:editId="63A6CBC4">
            <wp:extent cx="5165645" cy="364490"/>
            <wp:effectExtent l="0" t="0" r="0" b="0"/>
            <wp:docPr id="126806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68642" name=""/>
                    <pic:cNvPicPr/>
                  </pic:nvPicPr>
                  <pic:blipFill>
                    <a:blip r:embed="rId9"/>
                    <a:stretch>
                      <a:fillRect/>
                    </a:stretch>
                  </pic:blipFill>
                  <pic:spPr>
                    <a:xfrm>
                      <a:off x="0" y="0"/>
                      <a:ext cx="5447196" cy="384356"/>
                    </a:xfrm>
                    <a:prstGeom prst="rect">
                      <a:avLst/>
                    </a:prstGeom>
                  </pic:spPr>
                </pic:pic>
              </a:graphicData>
            </a:graphic>
          </wp:inline>
        </w:drawing>
      </w:r>
    </w:p>
    <w:p w14:paraId="5A745CA9" w14:textId="6AED7C5B" w:rsidR="002964C4" w:rsidRDefault="009C7055" w:rsidP="009C7055">
      <w:pPr>
        <w:spacing w:after="120"/>
        <w:jc w:val="center"/>
      </w:pPr>
      <w:r w:rsidRPr="009C7055">
        <w:drawing>
          <wp:inline distT="0" distB="0" distL="0" distR="0" wp14:anchorId="7BBACA31" wp14:editId="7E245ED1">
            <wp:extent cx="5186983" cy="2041072"/>
            <wp:effectExtent l="0" t="0" r="0" b="0"/>
            <wp:docPr id="158328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86127" name=""/>
                    <pic:cNvPicPr/>
                  </pic:nvPicPr>
                  <pic:blipFill>
                    <a:blip r:embed="rId10"/>
                    <a:stretch>
                      <a:fillRect/>
                    </a:stretch>
                  </pic:blipFill>
                  <pic:spPr>
                    <a:xfrm>
                      <a:off x="0" y="0"/>
                      <a:ext cx="5235625" cy="2060213"/>
                    </a:xfrm>
                    <a:prstGeom prst="rect">
                      <a:avLst/>
                    </a:prstGeom>
                  </pic:spPr>
                </pic:pic>
              </a:graphicData>
            </a:graphic>
          </wp:inline>
        </w:drawing>
      </w:r>
    </w:p>
    <w:p w14:paraId="3D139962" w14:textId="77777777" w:rsidR="002964C4" w:rsidRDefault="00000000">
      <w:pPr>
        <w:spacing w:after="160"/>
        <w:jc w:val="center"/>
      </w:pPr>
      <w:r>
        <w:rPr>
          <w:i/>
          <w:color w:val="6B6B6B"/>
          <w:sz w:val="17"/>
        </w:rPr>
        <w:t>Figure: A staged edit highlights the row and raises the “Save &amp; Regenerate PDF” footer.</w:t>
      </w:r>
    </w:p>
    <w:p w14:paraId="33F02436" w14:textId="2DB0117C" w:rsidR="002964C4" w:rsidRPr="00B30FBD" w:rsidRDefault="00000000">
      <w:pPr>
        <w:pStyle w:val="Heading1"/>
        <w:rPr>
          <w:sz w:val="26"/>
          <w:szCs w:val="26"/>
        </w:rPr>
      </w:pPr>
      <w:r w:rsidRPr="00B30FBD">
        <w:rPr>
          <w:sz w:val="26"/>
          <w:szCs w:val="26"/>
        </w:rPr>
        <w:t>5</w:t>
      </w:r>
      <w:r w:rsidR="008908AD" w:rsidRPr="00B30FBD">
        <w:rPr>
          <w:sz w:val="26"/>
          <w:szCs w:val="26"/>
        </w:rPr>
        <w:t>. The</w:t>
      </w:r>
      <w:r w:rsidRPr="00B30FBD">
        <w:rPr>
          <w:sz w:val="26"/>
          <w:szCs w:val="26"/>
        </w:rPr>
        <w:t xml:space="preserve"> annotated PDF output</w:t>
      </w:r>
    </w:p>
    <w:p w14:paraId="1F134C4C" w14:textId="77777777" w:rsidR="00BE2E4A" w:rsidRPr="00BE2E4A" w:rsidRDefault="00BE2E4A" w:rsidP="00BE2E4A">
      <w:pPr>
        <w:rPr>
          <w:lang w:val="en-IN"/>
        </w:rPr>
      </w:pPr>
      <w:r w:rsidRPr="00BE2E4A">
        <w:rPr>
          <w:b/>
          <w:bCs/>
          <w:lang w:val="en-IN"/>
        </w:rPr>
        <w:t>Download PDF</w:t>
      </w:r>
      <w:r w:rsidRPr="00BE2E4A">
        <w:rPr>
          <w:lang w:val="en-IN"/>
        </w:rPr>
        <w:t xml:space="preserve"> gives you the annotated </w:t>
      </w:r>
      <w:proofErr w:type="spellStart"/>
      <w:r w:rsidRPr="00BE2E4A">
        <w:rPr>
          <w:lang w:val="en-IN"/>
        </w:rPr>
        <w:t>aCRF</w:t>
      </w:r>
      <w:proofErr w:type="spellEnd"/>
      <w:r w:rsidRPr="00BE2E4A">
        <w:rPr>
          <w:lang w:val="en-IN"/>
        </w:rPr>
        <w:t>; </w:t>
      </w:r>
      <w:r w:rsidRPr="00BE2E4A">
        <w:rPr>
          <w:b/>
          <w:bCs/>
          <w:lang w:val="en-IN"/>
        </w:rPr>
        <w:t>Export CSV</w:t>
      </w:r>
      <w:r w:rsidRPr="00BE2E4A">
        <w:rPr>
          <w:lang w:val="en-IN"/>
        </w:rPr>
        <w:t> gives the field-level traceability spreadsheet for review sign-off and downstream specs.</w:t>
      </w:r>
    </w:p>
    <w:p w14:paraId="4262B0FD" w14:textId="77777777" w:rsidR="00BE2E4A" w:rsidRDefault="00BE2E4A" w:rsidP="00BE2E4A">
      <w:pPr>
        <w:rPr>
          <w:lang w:val="en-IN"/>
        </w:rPr>
      </w:pPr>
      <w:r w:rsidRPr="00BE2E4A">
        <w:rPr>
          <w:lang w:val="en-IN"/>
        </w:rPr>
        <w:t xml:space="preserve">The PDF follows SDTM-MSG v2.0 conventions: colour-coded domain headers, variable annotation boxes per field, and dashed [NOT SUBMITTED] markers for non-collected fields. All annotations are editable </w:t>
      </w:r>
      <w:proofErr w:type="spellStart"/>
      <w:r w:rsidRPr="00BE2E4A">
        <w:rPr>
          <w:lang w:val="en-IN"/>
        </w:rPr>
        <w:t>FreeText</w:t>
      </w:r>
      <w:proofErr w:type="spellEnd"/>
      <w:r w:rsidRPr="00BE2E4A">
        <w:rPr>
          <w:lang w:val="en-IN"/>
        </w:rPr>
        <w:t xml:space="preserve"> boxes in Acrobat — drag, resize, or retype as needed.</w:t>
      </w:r>
    </w:p>
    <w:p w14:paraId="44A90053" w14:textId="607E1204" w:rsidR="009C7055" w:rsidRPr="00BE2E4A" w:rsidRDefault="009C7055" w:rsidP="009C7055">
      <w:pPr>
        <w:jc w:val="center"/>
        <w:rPr>
          <w:lang w:val="en-IN"/>
        </w:rPr>
      </w:pPr>
      <w:r w:rsidRPr="009C7055">
        <w:rPr>
          <w:lang w:val="en-IN"/>
        </w:rPr>
        <w:drawing>
          <wp:inline distT="0" distB="0" distL="0" distR="0" wp14:anchorId="5F861A4A" wp14:editId="47D87CE6">
            <wp:extent cx="5003014" cy="1600200"/>
            <wp:effectExtent l="0" t="0" r="7620" b="0"/>
            <wp:docPr id="181749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9328" name=""/>
                    <pic:cNvPicPr/>
                  </pic:nvPicPr>
                  <pic:blipFill>
                    <a:blip r:embed="rId11"/>
                    <a:stretch>
                      <a:fillRect/>
                    </a:stretch>
                  </pic:blipFill>
                  <pic:spPr>
                    <a:xfrm>
                      <a:off x="0" y="0"/>
                      <a:ext cx="5081225" cy="1625215"/>
                    </a:xfrm>
                    <a:prstGeom prst="rect">
                      <a:avLst/>
                    </a:prstGeom>
                  </pic:spPr>
                </pic:pic>
              </a:graphicData>
            </a:graphic>
          </wp:inline>
        </w:drawing>
      </w:r>
    </w:p>
    <w:p w14:paraId="71961F48" w14:textId="5EFCB0DD" w:rsidR="002964C4" w:rsidRDefault="00027922" w:rsidP="00BE2E4A">
      <w:pPr>
        <w:jc w:val="center"/>
      </w:pPr>
      <w:r w:rsidRPr="00027922">
        <w:lastRenderedPageBreak/>
        <w:drawing>
          <wp:inline distT="0" distB="0" distL="0" distR="0" wp14:anchorId="77DEBBC4" wp14:editId="4174EF4C">
            <wp:extent cx="5753100" cy="3190377"/>
            <wp:effectExtent l="0" t="0" r="0" b="0"/>
            <wp:docPr id="1392935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327" name=""/>
                    <pic:cNvPicPr/>
                  </pic:nvPicPr>
                  <pic:blipFill>
                    <a:blip r:embed="rId12"/>
                    <a:stretch>
                      <a:fillRect/>
                    </a:stretch>
                  </pic:blipFill>
                  <pic:spPr>
                    <a:xfrm>
                      <a:off x="0" y="0"/>
                      <a:ext cx="5775189" cy="3202627"/>
                    </a:xfrm>
                    <a:prstGeom prst="rect">
                      <a:avLst/>
                    </a:prstGeom>
                  </pic:spPr>
                </pic:pic>
              </a:graphicData>
            </a:graphic>
          </wp:inline>
        </w:drawing>
      </w:r>
    </w:p>
    <w:p w14:paraId="273B0711" w14:textId="3DD289AE" w:rsidR="002964C4" w:rsidRDefault="00000000">
      <w:pPr>
        <w:spacing w:after="160"/>
        <w:jc w:val="center"/>
      </w:pPr>
      <w:r>
        <w:rPr>
          <w:i/>
          <w:color w:val="6B6B6B"/>
          <w:sz w:val="17"/>
        </w:rPr>
        <w:t xml:space="preserve">Figure: </w:t>
      </w:r>
      <w:r w:rsidR="00BA5372" w:rsidRPr="00BA5372">
        <w:rPr>
          <w:i/>
          <w:iCs/>
          <w:color w:val="6B6B6B"/>
          <w:sz w:val="17"/>
        </w:rPr>
        <w:t xml:space="preserve">Annotated PDF output — </w:t>
      </w:r>
      <w:proofErr w:type="spellStart"/>
      <w:r w:rsidR="00BA5372" w:rsidRPr="00BA5372">
        <w:rPr>
          <w:i/>
          <w:iCs/>
          <w:color w:val="6B6B6B"/>
          <w:sz w:val="17"/>
        </w:rPr>
        <w:t>colour</w:t>
      </w:r>
      <w:proofErr w:type="spellEnd"/>
      <w:r w:rsidR="00BA5372" w:rsidRPr="00BA5372">
        <w:rPr>
          <w:i/>
          <w:iCs/>
          <w:color w:val="6B6B6B"/>
          <w:sz w:val="17"/>
        </w:rPr>
        <w:t>-coded annotations, NOT SUBMITTED markers, and bookmarks</w:t>
      </w:r>
      <w:r>
        <w:rPr>
          <w:i/>
          <w:color w:val="6B6B6B"/>
          <w:sz w:val="17"/>
        </w:rPr>
        <w:t>.</w:t>
      </w:r>
    </w:p>
    <w:p w14:paraId="1E8ADF09" w14:textId="7019511E" w:rsidR="002964C4" w:rsidRPr="00B30FBD" w:rsidRDefault="00000000">
      <w:pPr>
        <w:pStyle w:val="Heading1"/>
        <w:rPr>
          <w:sz w:val="26"/>
          <w:szCs w:val="26"/>
        </w:rPr>
      </w:pPr>
      <w:r w:rsidRPr="00B30FBD">
        <w:rPr>
          <w:sz w:val="26"/>
          <w:szCs w:val="26"/>
        </w:rPr>
        <w:t>6</w:t>
      </w:r>
      <w:r w:rsidR="00B30FBD" w:rsidRPr="00B30FBD">
        <w:rPr>
          <w:sz w:val="26"/>
          <w:szCs w:val="26"/>
        </w:rPr>
        <w:t>. Job</w:t>
      </w:r>
      <w:r w:rsidRPr="00B30FBD">
        <w:rPr>
          <w:sz w:val="26"/>
          <w:szCs w:val="26"/>
        </w:rPr>
        <w:t xml:space="preserve"> history</w:t>
      </w:r>
    </w:p>
    <w:p w14:paraId="18AEA029" w14:textId="64DEF811" w:rsidR="00BE2E4A" w:rsidRDefault="00BE2E4A" w:rsidP="00BE2E4A">
      <w:r w:rsidRPr="00BE2E4A">
        <w:t xml:space="preserve">Every run </w:t>
      </w:r>
      <w:r w:rsidR="00710FA0" w:rsidRPr="00BE2E4A">
        <w:t>persisted</w:t>
      </w:r>
      <w:r w:rsidRPr="00BE2E4A">
        <w:t xml:space="preserve"> with its filename, annotation count, resolution rate, and status. Reopen any previous job to re-download or continue editing.</w:t>
      </w:r>
    </w:p>
    <w:p w14:paraId="68D47741" w14:textId="33D2E91A" w:rsidR="002964C4" w:rsidRDefault="00BE642B" w:rsidP="00BE2E4A">
      <w:pPr>
        <w:jc w:val="center"/>
      </w:pPr>
      <w:r w:rsidRPr="00BE642B">
        <w:rPr>
          <w:noProof/>
        </w:rPr>
        <w:drawing>
          <wp:inline distT="0" distB="0" distL="0" distR="0" wp14:anchorId="721AE4DE" wp14:editId="1CEDD807">
            <wp:extent cx="5856514" cy="2268692"/>
            <wp:effectExtent l="0" t="0" r="0" b="0"/>
            <wp:docPr id="2863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3784" name=""/>
                    <pic:cNvPicPr/>
                  </pic:nvPicPr>
                  <pic:blipFill>
                    <a:blip r:embed="rId13"/>
                    <a:stretch>
                      <a:fillRect/>
                    </a:stretch>
                  </pic:blipFill>
                  <pic:spPr>
                    <a:xfrm>
                      <a:off x="0" y="0"/>
                      <a:ext cx="5881298" cy="2278293"/>
                    </a:xfrm>
                    <a:prstGeom prst="rect">
                      <a:avLst/>
                    </a:prstGeom>
                  </pic:spPr>
                </pic:pic>
              </a:graphicData>
            </a:graphic>
          </wp:inline>
        </w:drawing>
      </w:r>
    </w:p>
    <w:p w14:paraId="39EFE004" w14:textId="77777777" w:rsidR="002964C4" w:rsidRDefault="00000000">
      <w:pPr>
        <w:spacing w:after="160"/>
        <w:jc w:val="center"/>
      </w:pPr>
      <w:r>
        <w:rPr>
          <w:i/>
          <w:color w:val="6B6B6B"/>
          <w:sz w:val="17"/>
        </w:rPr>
        <w:t>Figure: Job History — re-open, re-download, or keep editing any previous run.</w:t>
      </w:r>
    </w:p>
    <w:sectPr w:rsidR="002964C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6CE07A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2383DD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20359F"/>
    <w:multiLevelType w:val="multilevel"/>
    <w:tmpl w:val="B292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8878576">
    <w:abstractNumId w:val="8"/>
  </w:num>
  <w:num w:numId="2" w16cid:durableId="1604920755">
    <w:abstractNumId w:val="6"/>
  </w:num>
  <w:num w:numId="3" w16cid:durableId="1407797173">
    <w:abstractNumId w:val="5"/>
  </w:num>
  <w:num w:numId="4" w16cid:durableId="1132603294">
    <w:abstractNumId w:val="4"/>
  </w:num>
  <w:num w:numId="5" w16cid:durableId="2035230475">
    <w:abstractNumId w:val="7"/>
  </w:num>
  <w:num w:numId="6" w16cid:durableId="1478841935">
    <w:abstractNumId w:val="3"/>
  </w:num>
  <w:num w:numId="7" w16cid:durableId="1193230660">
    <w:abstractNumId w:val="2"/>
  </w:num>
  <w:num w:numId="8" w16cid:durableId="454100420">
    <w:abstractNumId w:val="1"/>
  </w:num>
  <w:num w:numId="9" w16cid:durableId="35856806">
    <w:abstractNumId w:val="0"/>
  </w:num>
  <w:num w:numId="10" w16cid:durableId="1563180243">
    <w:abstractNumId w:val="7"/>
  </w:num>
  <w:num w:numId="11" w16cid:durableId="625157642">
    <w:abstractNumId w:val="7"/>
  </w:num>
  <w:num w:numId="12" w16cid:durableId="18365299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922"/>
    <w:rsid w:val="00034616"/>
    <w:rsid w:val="0006063C"/>
    <w:rsid w:val="0015074B"/>
    <w:rsid w:val="0029639D"/>
    <w:rsid w:val="002964C4"/>
    <w:rsid w:val="002C794C"/>
    <w:rsid w:val="00326F90"/>
    <w:rsid w:val="00656B7A"/>
    <w:rsid w:val="00693CEB"/>
    <w:rsid w:val="006E234C"/>
    <w:rsid w:val="00710FA0"/>
    <w:rsid w:val="00812CFB"/>
    <w:rsid w:val="00817865"/>
    <w:rsid w:val="008908AD"/>
    <w:rsid w:val="0094215A"/>
    <w:rsid w:val="009C7055"/>
    <w:rsid w:val="009E721C"/>
    <w:rsid w:val="00A831F4"/>
    <w:rsid w:val="00AA1D8D"/>
    <w:rsid w:val="00B30FBD"/>
    <w:rsid w:val="00B47730"/>
    <w:rsid w:val="00BA5372"/>
    <w:rsid w:val="00BE2E4A"/>
    <w:rsid w:val="00BE642B"/>
    <w:rsid w:val="00BF1B94"/>
    <w:rsid w:val="00CB0664"/>
    <w:rsid w:val="00D767E0"/>
    <w:rsid w:val="00F57C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C09C3"/>
  <w14:defaultImageDpi w14:val="300"/>
  <w15:docId w15:val="{53EA3A7A-679A-475B-BA1F-39BE5131B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3005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B2D8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4</Pages>
  <Words>482</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Agarwal, Jhanavi</cp:lastModifiedBy>
  <cp:revision>5</cp:revision>
  <dcterms:created xsi:type="dcterms:W3CDTF">2013-12-23T23:15:00Z</dcterms:created>
  <dcterms:modified xsi:type="dcterms:W3CDTF">2026-06-26T06:45:00Z</dcterms:modified>
  <cp:category/>
</cp:coreProperties>
</file>