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30051"/>
          <w:sz w:val="44"/>
        </w:rPr>
        <w:t>aCRF Annotation Engine</w:t>
      </w:r>
    </w:p>
    <w:p>
      <w:pPr>
        <w:spacing w:after="200"/>
      </w:pPr>
      <w:r>
        <w:rPr>
          <w:color w:val="6B6B6B"/>
          <w:sz w:val="22"/>
        </w:rPr>
        <w:t>Leadership Overview  ·  SDTM Automation for Respiratory &amp; Immunology</w:t>
      </w:r>
    </w:p>
    <w:p>
      <w:pPr>
        <w:pStyle w:val="Heading1"/>
      </w:pPr>
      <w:r>
        <w:t>What it does</w:t>
      </w:r>
    </w:p>
    <w:p>
      <w:pPr>
        <w:spacing w:after="160"/>
      </w:pPr>
      <w:r>
        <w:t>The aCRF Annotation Engine turns a blank study CRF into a fully SDTM-annotated CRF automatically — work that is otherwise done by hand over several days for every study. It maps each collected field to its SDTM domain and variable following CDISC SDTM-MSG v2.0, then produces a submission-ready annotated PDF with a full field-level traceability export. A programmer reviews and signs off rather than annotating from scratch.</w:t>
      </w:r>
    </w:p>
    <w:p>
      <w:pPr>
        <w:pStyle w:val="Heading1"/>
      </w:pPr>
      <w:r>
        <w:t>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4968"/>
          </w:tcPr>
          <w:p>
            <w:r>
              <w:t>Annotates a ~500-page CRF in under two minutes, versus days of manual work per study.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4968"/>
          </w:tcPr>
          <w:p>
            <w:r>
              <w:t>~93% of fields auto-mapped to the correct SDTM domain and variable on a representative R&amp;I study.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4968"/>
          </w:tcPr>
          <w:p>
            <w:r>
              <w:t>Output follows CDISC SDTM-MSG v2.0 annotation conventions, supporting FDA Study Data Technical Conformance Guide expectations for the aCRF.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Risk control</w:t>
            </w:r>
          </w:p>
        </w:tc>
        <w:tc>
          <w:tcPr>
            <w:tcW w:type="dxa" w:w="4968"/>
          </w:tcPr>
          <w:p>
            <w:r>
              <w:t>Human-in-the-loop by design — every mapping is surfaced for review with a confidence score; nothing reaches the deliverable unvalidated.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Reproducibility</w:t>
            </w:r>
          </w:p>
        </w:tc>
        <w:tc>
          <w:tcPr>
            <w:tcW w:type="dxa" w:w="4968"/>
          </w:tcPr>
          <w:p>
            <w:r>
              <w:t>Each run is versioned and stamped with its tool/rule provenance, and persisted in a job history for audit.</w:t>
            </w:r>
          </w:p>
        </w:tc>
      </w:tr>
    </w:tbl>
    <w:p>
      <w:pPr>
        <w:spacing w:after="80"/>
      </w:pPr>
    </w:p>
    <w:p>
      <w:pPr>
        <w:pStyle w:val="Heading1"/>
      </w:pPr>
      <w:r>
        <w:t>How it works</w:t>
      </w:r>
    </w:p>
    <w:p>
      <w:pPr>
        <w:pStyle w:val="ListBullet"/>
        <w:spacing w:after="40"/>
      </w:pPr>
      <w:r>
        <w:rPr>
          <w:b/>
        </w:rPr>
        <w:t xml:space="preserve">Upload  </w:t>
      </w:r>
      <w:r>
        <w:t>any standard AZ-EDC CRF export (Blank, RSG, or DB format) — no pre-cleaning required; EDC scaffolding is detected and skipped.</w:t>
      </w:r>
    </w:p>
    <w:p>
      <w:pPr>
        <w:pStyle w:val="ListBullet"/>
        <w:spacing w:after="40"/>
      </w:pPr>
      <w:r>
        <w:rPr>
          <w:b/>
        </w:rPr>
        <w:t xml:space="preserve">Extract  </w:t>
      </w:r>
      <w:r>
        <w:t>reads every page to identify forms, visits and collected fields, filtering out non-collected noise.</w:t>
      </w:r>
    </w:p>
    <w:p>
      <w:pPr>
        <w:pStyle w:val="ListBullet"/>
        <w:spacing w:after="40"/>
      </w:pPr>
      <w:r>
        <w:rPr>
          <w:b/>
        </w:rPr>
        <w:t xml:space="preserve">Map  </w:t>
      </w:r>
      <w:r>
        <w:t>resolves each field to its SDTM domain, variable, codelist and qualifier, with a confidence score and supplemental-dataset support.</w:t>
      </w:r>
    </w:p>
    <w:p>
      <w:pPr>
        <w:pStyle w:val="ListBullet"/>
        <w:spacing w:after="40"/>
      </w:pPr>
      <w:r>
        <w:rPr>
          <w:b/>
        </w:rPr>
        <w:t xml:space="preserve">Output  </w:t>
      </w:r>
      <w:r>
        <w:t>a colour-coded, MSG-compliant annotated PDF plus a CSV traceability file.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3845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p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5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Quality assurance</w:t>
      </w:r>
    </w:p>
    <w:p>
      <w:pPr>
        <w:spacing w:after="160"/>
      </w:pPr>
      <w:r>
        <w:t>Every run opens on a quality dashboard that makes coverage and trustworthiness visible at a glance: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968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Resolution Rate</w:t>
            </w:r>
          </w:p>
        </w:tc>
        <w:tc>
          <w:tcPr>
            <w:tcW w:type="dxa" w:w="4968"/>
          </w:tcPr>
          <w:p>
            <w:r>
              <w:t>Share of extracted fields mapped to an SDTM variable (or marked NOT SUBMITTED) — the headline coverage number.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Confidence tiering</w:t>
            </w:r>
          </w:p>
        </w:tc>
        <w:tc>
          <w:tcPr>
            <w:tcW w:type="dxa" w:w="4968"/>
          </w:tcPr>
          <w:p>
            <w:r>
              <w:t>Each mapping is graded — High Confidence (exact rules), SDTM Standards, Standards Lookup, Not Submitted, Unresolved — so review effort targets the weakest mappings, not the whole CRF.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Annotations / Forms</w:t>
            </w:r>
          </w:p>
        </w:tc>
        <w:tc>
          <w:tcPr>
            <w:tcW w:type="dxa" w:w="4968"/>
          </w:tcPr>
          <w:p>
            <w:r>
              <w:t>Volume placed in the output and the breadth of CRF forms covered.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746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s_cha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4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Human review &amp; override</w:t>
      </w:r>
    </w:p>
    <w:p>
      <w:pPr>
        <w:spacing w:after="160"/>
      </w:pPr>
      <w:r>
        <w:t>The engine's output is a starting point, not a locked deliverable. Every mapping is reviewable in a filterable table split by Resolved / Unresolved; programmers focus on low-confidence annotations and leave exact, rule-based matches with minimal scrutiny. Any annotation can be corrected inline and the PDF regenerated in one click — keeping a qualified programmer accountable for the final result.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63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nding_foo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63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Output &amp; compliance</w:t>
      </w:r>
    </w:p>
    <w:p>
      <w:pPr>
        <w:spacing w:after="160"/>
      </w:pPr>
      <w:r>
        <w:t>The deliverable is a fully SDTM-MSG v2.0-compliant annotated PDF with colour-coded domain headers, editable FreeText annotation boxes (adjustable in Adobe Acrobat) and [NOT SUBMITTED] markers for non-collected fields. A companion CSV provides field-level traceability for review sign-off and downstream SDTM spec generation. Because the annotations are real PDF objects rather than flattened images, the output drops directly into the existing submission workflow and remains fully adjustable.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66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df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67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300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B2D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