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F4E79"/>
          <w:sz w:val="54"/>
        </w:rPr>
        <w:t>卫星仿真项目建模说明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58728B"/>
          <w:sz w:val="28"/>
        </w:rPr>
        <w:t>Basilisk 原生模型库、分层所有权、可信度门禁与 Agent 编排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</w:trPr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文档版本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0.5.3</w:t>
            </w:r>
          </w:p>
        </w:tc>
      </w:tr>
      <w:tr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项目版本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/ satellite-simulation-platform 0.5.3</w:t>
            </w:r>
          </w:p>
        </w:tc>
      </w:tr>
      <w:tr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编制日期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20"/>
              </w:rPr>
              <w:t>2026-07-14</w:t>
            </w:r>
          </w:p>
        </w:tc>
      </w:tr>
      <w:tr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文档性质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20"/>
              </w:rPr>
              <w:t>工程建模与使用说明</w:t>
            </w:r>
          </w:p>
        </w:tc>
      </w:tr>
      <w:tr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D9EAF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编制依据</w:t>
            </w:r>
          </w:p>
        </w:tc>
        <w:tc>
          <w:tcPr>
            <w:tcW w:type="dxa" w:w="487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 xml:space="preserve"> 最终工程包、Capability/Operator Contract、～ 硬化证据、参数证据和发布重新冻结报告</w:t>
            </w:r>
          </w:p>
        </w:tc>
      </w:tr>
    </w:tbl>
    <w:p/>
    <w:p>
      <w:pPr>
        <w:jc w:val="center"/>
      </w:pPr>
      <w:r>
        <w:t>适用于  最终完整源码包、拆分制品及 0.5.3 wheel</w:t>
      </w:r>
    </w:p>
    <w:p>
      <w:r/>
    </w:p>
    <w:p>
      <w:pPr>
        <w:pStyle w:val="Heading1"/>
      </w:pPr>
      <w:r>
        <w:t>目录</w:t>
      </w:r>
    </w:p>
    <w:p>
      <w:r/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1. 文档目的与项目基线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2. 总体建模架构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3. 工程目录与模型组织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4. 分层建模职责与依赖规则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5. Basilisk 原生映射分类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6. 模型能力范围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7. 参数、证据与标定等级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8. 故障与退化建模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9. 输出、QoI 与任务验证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10. 仿真 Agent 编排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11. 运行制品与可追溯性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12. 新增或修改模型的方法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13. 已知边界与使用结论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14. 附录：术语和关键文件</w:t>
      </w:r>
    </w:p>
    <w:p>
      <w:pPr>
        <w:spacing w:after="40"/>
        <w:ind w:left="227"/>
      </w:pPr>
      <w:r>
        <w:rPr>
          <w:rFonts w:ascii="Noto Sans CJK SC" w:hAnsi="Noto Sans CJK SC" w:eastAsia="Noto Sans CJK SC"/>
          <w:color w:val="243447"/>
          <w:sz w:val="21"/>
        </w:rPr>
        <w:t>15.  发布冻结与证据状态</w:t>
      </w:r>
      <w:r/>
    </w:p>
    <w:p>
      <w:pPr>
        <w:spacing w:before="240"/>
      </w:pPr>
      <w:r>
        <w:t>注：本页目录为可更新的 Word 目录域，并保留当前章节索引作为缓存结果；内容变更后可在 Word 中按 F9 更新。</w:t>
      </w:r>
    </w:p>
    <w:p>
      <w:r/>
    </w:p>
    <w:p>
      <w:pPr>
        <w:pStyle w:val="Heading1"/>
      </w:pPr>
      <w:r>
        <w:t>1. 文档目的与项目基线</w:t>
      </w:r>
    </w:p>
    <w:p>
      <w:pPr>
        <w:ind w:left="113" w:right="113"/>
        <w:shd w:fill="F7F9FB"/>
      </w:pPr>
      <w:r>
        <w:t>本文档说明当前  工程包如何组织卫星物理模型、环境、故障/退化、任务场景、可信度证据和仿真 Agent，并补充 ～ 的代码硬化与 effect-QoI 收口结果。它用于开发者理解模型所有权、扩展模型和判断输出声明边界，不替代具体算法论文、硬件标定报告或任务认证材料。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当前基线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发布标识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-RELEASE-REFREEZE-DOC-PACKAGING-CLOSURE-1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Python 包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t>satellite-simulation-platform 0.5.3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仿真框架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Basilisk / bsk 2.11.0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TaskSpec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Canonical TaskSpec 1.0.0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Capability Contract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42 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Agent 活动能力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26 项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正式 Golden Set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140 案例，重复 5 次；首轮执行 7 个标记 Runner 案例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正式发布门禁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12 项全部通过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环境诊断基线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11 项全部通过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可信度说明：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“发布门禁通过”证明当前注册能力和测试集合下的软件闭环成立，不表示所有卫星物理过程均已地面标定、飞行相关或具备认证效力。</w:t>
            </w:r>
          </w:p>
        </w:tc>
      </w:tr>
    </w:tbl>
    <w:p>
      <w:pPr>
        <w:spacing w:after="0"/>
      </w:pPr>
    </w:p>
    <w:p>
      <w:pPr>
        <w:pStyle w:val="Heading1"/>
      </w:pPr>
      <w:r>
        <w:t>2. 总体建模架构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color w:val="667788"/>
          <w:sz w:val="17"/>
        </w:rPr>
        <w:t>图 1  分层模型、Agent 编排与横向可信度门禁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项目采用“物理模型分层 + 受约束 Agent 编排 + 证据驱动验证”的组合架构。依赖方向固定为：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whole_spacecraft → subsystems → components → Basilisk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Agent / TaskSpec → Capability Registry → public builder / runner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部件层拥有单部件物理对象、原生参数映射和单部件故障/退化。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分系统层组合部件、连接 Basilisk 消息、建立控制/估计/功率/数据/推进链路。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整星层创建中心 Spacecraft 动力学总线，组织分系统和任务，不重复实现部件物理。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Agent 只生成和修改 TaskSpec；确定性程序负责能力解析、计划、执行和声明。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参数证据、native/proxy 分类、运行时注入和 QoI 验证横跨全部层级。</w:t>
      </w:r>
    </w:p>
    <w:p>
      <w:pPr>
        <w:jc w:val="center"/>
      </w:pPr>
      <w:r/>
    </w:p>
    <w:p>
      <w:pPr>
        <w:jc w:val="center"/>
      </w:pPr>
      <w:r>
        <w:rPr>
          <w:rFonts w:ascii="Noto Sans CJK SC" w:hAnsi="Noto Sans CJK SC" w:eastAsia="Noto Sans CJK SC"/>
          <w:color w:val="667788"/>
          <w:sz w:val="17"/>
        </w:rPr>
        <w:t>图 2  仿真需求到 ClaimReport 的确定性闭环</w:t>
      </w:r>
    </w:p>
    <w:p>
      <w:pPr>
        <w:pStyle w:val="Heading1"/>
      </w:pPr>
      <w:r>
        <w:t>3. 工程目录与模型组织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目录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src/components/&lt;name&gt;/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部件 schema、builder、model、faults、degradation、runner。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src/subsystems/&lt;name&gt;/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分系统 schema、builder、model、faults、degradation、runner，以及消息链路。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src/whole_spacecraft/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整星中心总线、分系统装配、任务事件、整星 QoI。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src/sat_sim/orbit/、environment/、spacecraft/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轨道环境、力模型、6-DOF 航天器和环境资产适配。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src/sat_sim/capabilities/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机器可读 Capability Contract；Agent 能力事实来源。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src/sat_sim/schemas/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TaskSpec、ResolvedSpec、ExecutionPlan、Run/Validation/Claim 等 JSON Schema。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configs/parameters/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demo 与 engineering_estimate 参数注册表、证据来源规则。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configs/uq/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任务级不确定性传播配置。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examples/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正式部件、分系统、整星和失败保持示例。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tests/、scripts/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单元/合同测试和模型闭环验证脚本。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reports/</w:t>
            </w:r>
          </w:p>
        </w:tc>
        <w:tc>
          <w:tcPr>
            <w:tcW w:type="dxa" w:w="5783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阶段性审计、QoI、注入、发布和 Golden Set 证据。</w:t>
            </w:r>
          </w:p>
        </w:tc>
      </w:tr>
    </w:tbl>
    <w:p>
      <w:pPr>
        <w:spacing w:after="0"/>
      </w:pPr>
    </w:p>
    <w:p>
      <w:pPr>
        <w:pStyle w:val="Heading2"/>
      </w:pPr>
      <w:r>
        <w:t>3.1 单个部件目录约定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src/components/reaction_wheel/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├── schemas.py       # Canonical Config/Spec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├── builder.py       # 创建和配置 Basilisk 原生对象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├── faults.py        # 单部件故障映射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├── degradation.py   # 单部件退化映射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├── model.py         # 项目侧语义封装（如需要）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└── runner.py        # 部件级正常/故障/退化场景入口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目录约束：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不是每个部件都必须存在独立 model.py，但 canonical Config/Spec 应位于 schemas.py，builder 不得反向定义 schema，也不得通过静默异常忽略未支持参数。</w:t>
            </w:r>
          </w:p>
        </w:tc>
      </w:tr>
    </w:tbl>
    <w:p>
      <w:pPr>
        <w:spacing w:after="0"/>
      </w:pPr>
    </w:p>
    <w:p>
      <w:pPr>
        <w:pStyle w:val="Heading1"/>
      </w:pPr>
      <w:r>
        <w:t>4. 分层建模职责与依赖规则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拥有内容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禁止事项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部件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Basilisk 对象构造、部件局部消息、物理配置、部件故障/退化。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不处理整星任务调度；不伪造输出消息。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分系统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调用部件 builder，连接消息，建立控制/估计/功率/数据链路，组合场景。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不复制部件物理；不越过部件层直接重复实现同一故障。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整星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创建中心 Spacecraft，总装分系统，连接跨系统合同，调度任务和记录整星 QoI。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除中心 Spacecraft 外不直接构造分系统拥有的 Basilisk 模块；不导入 components.*。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Agent</w:t>
            </w:r>
          </w:p>
        </w:tc>
        <w:tc>
          <w:tcPr>
            <w:tcW w:type="dxa" w:w="408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选择已登记能力、生成 TaskSpec、解释结果。</w:t>
            </w:r>
          </w:p>
        </w:tc>
        <w:tc>
          <w:tcPr>
            <w:tcW w:type="dxa" w:w="385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不写任意 Python、不导入私有模块、不直接构造 Basilisk 对象。</w:t>
            </w:r>
          </w:p>
        </w:tc>
      </w:tr>
    </w:tbl>
    <w:p>
      <w:pPr>
        <w:spacing w:after="0"/>
      </w:pPr>
    </w:p>
    <w:p>
      <w:pPr>
        <w:pStyle w:val="Heading2"/>
      </w:pPr>
      <w:r>
        <w:t>4.1 运行时故障调用链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whole_spacecraft FaultInjector（调度、审计、恢复）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→ subsystems.runtime_fault_router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  → subsystem faults.py / degradation.py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    → component faults.py / degradation.py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 xml:space="preserve">        → Basilisk native field / setter / input message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该链保证整星负责“何时发生”，分系统负责“在链路中如何组织”，部件负责“修改哪个原生目标”。</w:t>
      </w:r>
    </w:p>
    <w:p>
      <w:pPr>
        <w:pStyle w:val="Heading1"/>
      </w:pPr>
      <w:r>
        <w:t>5. Basilisk 原生映射分类</w:t>
      </w:r>
    </w:p>
    <w:p>
      <w:pPr>
        <w:ind w:left="113" w:right="113"/>
        <w:shd w:fill="F7F9FB"/>
      </w:pPr>
      <w:r>
        <w:rPr>
          <w:rFonts w:ascii="Noto Sans CJK SC" w:hAnsi="Noto Sans CJK SC" w:eastAsia="Noto Sans CJK SC"/>
          <w:color w:val="34495E"/>
          <w:sz w:val="20"/>
        </w:rPr>
        <w:t>项目不以“SWIG 对象上存在同名属性”作为已支持依据。每个公开字段必须被归入唯一类型，并证明 builder 实际消费、单位语义一致、运行时行为有效且有方向性 QoI。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示例用途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native_build_parameter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创建或初始化 Basilisk 模块时写入。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质量、惯量、初始容量、最大力矩。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native_runtime_writable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仿真过程中可安全修改的原生字段或 setter。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反作用轮摩擦、可写效率/比例参数。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native_input_message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通过输入消息注入状态或效应。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数据节点速率、控制命令、环境状态。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native_output_only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由 Basilisk 计算，只能记录和验收。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轮速、SOC、姿态误差、链路输出。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native_chain_composition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多个原生模块和消息组成能力。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RF 链、闭环 ADCS、功率-热-轨耦合。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project_proxy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Basilisk 无目标物理或项目明确保留代理。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部分载荷质量指标或简化任务效应。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out_of_scope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当前交付边界外。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未建模成像物理、未支持的非线性效应。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invalid_or_unused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不存在、语义错误、未消费或写入无效目标。</w:t>
            </w:r>
          </w:p>
        </w:tc>
        <w:tc>
          <w:tcPr>
            <w:tcW w:type="dxa" w:w="328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ghost 参数、输出字段被误当输入。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CE4D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禁止项：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禁止修改 Basilisk 输出消息伪造故障；禁止以 hasattr(...): pass 静默跳过；禁止把项目代理包装成 native；禁止保留不被函数体消费的公开参数。</w:t>
            </w:r>
          </w:p>
        </w:tc>
      </w:tr>
    </w:tbl>
    <w:p>
      <w:pPr>
        <w:spacing w:after="0"/>
      </w:pPr>
    </w:p>
    <w:p>
      <w:pPr>
        <w:pStyle w:val="Heading1"/>
      </w:pPr>
      <w:r>
        <w:t>6. 模型能力范围</w:t>
      </w: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下表描述代码中主要模型模块。代码模块存在不等于已经作为 Agent 活动能力公开；Agent 只能使用 Capability Registry 中活动且可见的能力。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40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主要部件模块</w:t>
            </w:r>
          </w:p>
        </w:tc>
        <w:tc>
          <w:tcPr>
            <w:tcW w:type="dxa" w:w="3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主要分系统/整星能力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ADCS</w:t>
            </w:r>
          </w:p>
        </w:tc>
        <w:tc>
          <w:tcPr>
            <w:tcW w:type="dxa" w:w="40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reaction_wheel、cmg、mtb、magnetometer、sun_sensor、star_tracker、imu</w:t>
            </w:r>
          </w:p>
        </w:tc>
        <w:tc>
          <w:tcPr>
            <w:tcW w:type="dxa" w:w="3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ADCS 基本轮控、Basilisk FSW、闭环/高保真、轨姿整星耦合。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EPS</w:t>
            </w:r>
          </w:p>
        </w:tc>
        <w:tc>
          <w:tcPr>
            <w:tcW w:type="dxa" w:w="40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battery、solar_panel、pdu、power_sink</w:t>
            </w:r>
          </w:p>
        </w:tc>
        <w:tc>
          <w:tcPr>
            <w:tcW w:type="dxa" w:w="3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EPS basic/source-native，功率-轨道、功率-热-轨道整星。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热控</w:t>
            </w:r>
          </w:p>
        </w:tc>
        <w:tc>
          <w:tcPr>
            <w:tcW w:type="dxa" w:w="40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thermal_node、heater、radiator</w:t>
            </w:r>
          </w:p>
        </w:tc>
        <w:tc>
          <w:tcPr>
            <w:tcW w:type="dxa" w:w="3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集总热、source-native、reduced-order，轨姿热与功率热轨耦合。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通信与数据</w:t>
            </w:r>
          </w:p>
        </w:tc>
        <w:tc>
          <w:tcPr>
            <w:tcW w:type="dxa" w:w="40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antenna、transmitter、link_budget、data_queue、onboard_storage、ground_station</w:t>
            </w:r>
          </w:p>
        </w:tc>
        <w:tc>
          <w:tcPr>
            <w:tcW w:type="dxa" w:w="3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基本地面过站、RF/ODH/EPS 原生链、通信-载荷任务耦合。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推进</w:t>
            </w:r>
          </w:p>
        </w:tc>
        <w:tc>
          <w:tcPr>
            <w:tcW w:type="dxa" w:w="40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thruster、fuel_tank</w:t>
            </w:r>
          </w:p>
        </w:tc>
        <w:tc>
          <w:tcPr>
            <w:tcW w:type="dxa" w:w="3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source-native 推进分系统、机动-轨道-姿态整星。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载荷</w:t>
            </w:r>
          </w:p>
        </w:tc>
        <w:tc>
          <w:tcPr>
            <w:tcW w:type="dxa" w:w="40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payload、payload_sensor</w:t>
            </w:r>
          </w:p>
        </w:tc>
        <w:tc>
          <w:tcPr>
            <w:tcW w:type="dxa" w:w="3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载荷 source-native 与通信数据任务耦合；成像物理仍受能力边界约束。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轨道与环境</w:t>
            </w:r>
          </w:p>
        </w:tc>
        <w:tc>
          <w:tcPr>
            <w:tcW w:type="dxa" w:w="40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atmosphere、force_models、medium、numerical、basilisk_hf</w:t>
            </w:r>
          </w:p>
        </w:tc>
        <w:tc>
          <w:tcPr>
            <w:tcW w:type="dxa" w:w="391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LEO simple、medium fidelity、orbit fidelity、Basilisk HF、6-DOF 整星。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能力统计</w:t>
            </w:r>
          </w:p>
        </w:tc>
        <w:tc>
          <w:tcPr>
            <w:tcW w:type="dxa" w:w="53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数量/状态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Capability Contract 总数</w:t>
            </w:r>
          </w:p>
        </w:tc>
        <w:tc>
          <w:tcPr>
            <w:tcW w:type="dxa" w:w="53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42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活动 Agent 能力</w:t>
            </w:r>
          </w:p>
        </w:tc>
        <w:tc>
          <w:tcPr>
            <w:tcW w:type="dxa" w:w="53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26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注册表结构错误</w:t>
            </w:r>
          </w:p>
        </w:tc>
        <w:tc>
          <w:tcPr>
            <w:tcW w:type="dxa" w:w="53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0</w:t>
            </w:r>
          </w:p>
        </w:tc>
      </w:tr>
      <w:tr>
        <w:trPr>
          <w:cantSplit/>
        </w:trPr>
        <w:tc>
          <w:tcPr>
            <w:tcW w:type="dxa" w:w="396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t>Effect 证据最终状态</w:t>
            </w:r>
          </w:p>
        </w:tc>
        <w:tc>
          <w:tcPr>
            <w:tcW w:type="dxa" w:w="5386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r>
              <w:t>0 candidate；13 VERIFIED_NATIVE_EFFECT（source_native）、1 PROJECT_PROXY、1 OUT_OF_SCOPE</w:t>
            </w:r>
          </w:p>
        </w:tc>
      </w:tr>
    </w:tbl>
    <w:p>
      <w:pPr>
        <w:spacing w:after="0"/>
      </w:pPr>
    </w:p>
    <w:p>
      <w:pPr>
        <w:pStyle w:val="Heading1"/>
      </w:pPr>
      <w:r>
        <w:t>7. 参数、证据与标定等级</w:t>
      </w:r>
    </w:p>
    <w:p>
      <w:pPr>
        <w:ind w:left="113" w:right="113"/>
        <w:shd w:fill="F7F9FB"/>
      </w:pPr>
      <w:r>
        <w:rPr>
          <w:rFonts w:ascii="Noto Sans CJK SC" w:hAnsi="Noto Sans CJK SC" w:eastAsia="Noto Sans CJK SC"/>
          <w:color w:val="34495E"/>
          <w:sz w:val="20"/>
        </w:rPr>
        <w:t>模型构造正确与参数工程有效是两个不同问题。参数注册表决定一个运行可使用何种值，以及报告最多允许作出何种声明。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参数档位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最低证据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允许声明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demo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有单位、owner 和显式示例默认值。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接口、流程、定性演示；不得用于工程或标定声明。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engineering_estimate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数据手册、公开文献、设计推导或经审查的有界假设；包含范围/不确定性。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初步工程权衡，必须标注估算边界。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ground_calibrated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不可变地面测试数据集 ID、校验和、不确定性和残差指标。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在测试硬件/工况范围内的工程分析。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flight_correlated</w:t>
            </w:r>
          </w:p>
        </w:tc>
        <w:tc>
          <w:tcPr>
            <w:tcW w:type="dxa" w:w="4252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飞行遥测相关、残差和适用工况证据。</w:t>
            </w:r>
          </w:p>
        </w:tc>
        <w:tc>
          <w:tcPr>
            <w:tcW w:type="dxa" w:w="311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相关包络内任务预测或在轨分析。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当前发布包含：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configs/parameters/demo_parameter_registry_v1.json：用于示例与 CI。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configs/parameters/engineering_estimate_registry_v1.json：受证据上限、审查状态和不确定性规则约束的工程估算配置。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configs/parameters/evidence_sources_v1.json：source_type 到最高 confidence 的证据阶梯。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configs/uq/mission_uq_demo_v1.json 与 mission_uq_engineering_estimate_v1.json：任务级 UQ 配置。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没有真实标定数据时：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允许使用经审查的 engineering_estimate 和 surrogate UQ，但 demo/synthetic/assumption 不得升级为 ground_calibrated 或 flight_correlated。</w:t>
            </w:r>
          </w:p>
        </w:tc>
      </w:tr>
    </w:tbl>
    <w:p>
      <w:pPr>
        <w:spacing w:after="0"/>
      </w:pPr>
    </w:p>
    <w:p>
      <w:pPr>
        <w:pStyle w:val="Heading2"/>
      </w:pPr>
      <w:r>
        <w:t>7.1 参数注册记录最小字段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parameter_id, owner, config_path, native_target, value, unit, confidence,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source_type, source_ref, uncertainty, validity, calibration, approval_status</w:t>
      </w:r>
    </w:p>
    <w:p>
      <w:pPr>
        <w:pStyle w:val="Heading1"/>
      </w:pPr>
      <w:r>
        <w:t>8. 故障与退化建模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概念</w:t>
            </w:r>
          </w:p>
        </w:tc>
        <w:tc>
          <w:tcPr>
            <w:tcW w:type="dxa" w:w="40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判定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故障 fault</w:t>
            </w:r>
          </w:p>
        </w:tc>
        <w:tc>
          <w:tcPr>
            <w:tcW w:type="dxa" w:w="40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离散或突发失效，例如开路、卡滞、失效。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事件语义、开始/恢复时间、目标和 native 应用证据。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退化 degradation</w:t>
            </w:r>
          </w:p>
        </w:tc>
        <w:tc>
          <w:tcPr>
            <w:tcW w:type="dxa" w:w="40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连续或阶跃性能下降，例如容量损失、效率下降、摩擦增加。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参数变化和方向性 QoI；不与故障字段混用。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投递 Delivery</w:t>
            </w:r>
          </w:p>
        </w:tc>
        <w:tc>
          <w:tcPr>
            <w:tcW w:type="dxa" w:w="40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事件已注册、进入时间窗并作用到目标。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可以 PASS。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物理效果 Effect</w:t>
            </w:r>
          </w:p>
        </w:tc>
        <w:tc>
          <w:tcPr>
            <w:tcW w:type="dxa" w:w="402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输出变化可由该事件的因果 QoI 证明。</w:t>
            </w:r>
          </w:p>
        </w:tc>
        <w:tc>
          <w:tcPr>
            <w:tcW w:type="dxa" w:w="351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证据不足时必须 INCONCLUSIVE。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运行时注入支持必须同时证明：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43447"/>
          <w:sz w:val="20"/>
        </w:rPr>
        <w:t>目标字段是 native runtime writable 或 native input message；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43447"/>
          <w:sz w:val="20"/>
        </w:rPr>
        <w:t>事件具有明确 target、start、可选 end/recovery 和参数；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43447"/>
          <w:sz w:val="20"/>
        </w:rPr>
        <w:t>运行时实际应用计数不为零，且无 failed direct application；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43447"/>
          <w:sz w:val="20"/>
        </w:rPr>
        <w:t>至少一个与 effect 对应的 QoI 提供方向性或定量证据；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color w:val="243447"/>
          <w:sz w:val="20"/>
        </w:rPr>
        <w:t>不支持的效应被明确标为 project_proxy 或 out_of_scope。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t xml:space="preserve"> Effect 边界：13 项注册 source-native 实现效果已通过直接 QoI/状态证据；solar_panel.deployment_failure 为项目功率代理；battery.self_discharge_rate_increase_pct 为 out_of_scope。任何一项均不得自动升级为硬件标定、飞行相关或认证证据。</w:t>
            </w:r>
          </w:p>
        </w:tc>
      </w:tr>
    </w:tbl>
    <w:p>
      <w:pPr>
        <w:spacing w:after="0"/>
      </w:pPr>
      <w:r>
        <w:t>当前  边界：15 项原候选 effect 已全部最终分类。13 项具备注册 source-native 实现的直接 QoI/状态证据，太阳翼 deployment_failure 为显式 project proxy，电池 self_discharge_rate_increase_pct 为 out_of_scope。上述结论不得扩大为 Basilisk 原生机理、硬件标定或飞行验证。</w:t>
      </w:r>
    </w:p>
    <w:p>
      <w:pPr>
        <w:pStyle w:val="Heading1"/>
      </w:pPr>
      <w:r>
        <w:t>9. 输出、QoI 与任务验证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输出类型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Trace / Telemetry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按 sample_s 记录时序变量；用于曲线、方向性和窗口断言。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Summary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保存终值、极值、统计量、状态和任务摘要。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Events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记录事件注册、激活、恢复、目标和应用证据。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QoI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质量指标，如姿态误差、轮速、SOC、数据交付率、热安全余量。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Labels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正常/故障/退化、模式和任务标签。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Manifest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版本、文件、Hash、参数来源和环境信息。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验证结果采用四态语义：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执行状态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ValidationOutcome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SUCCEEDED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PASS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程序完成，必要证据和任务断言均满足。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SUCCEEDED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FAIL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程序完成，但存在明确的任务或物理失败。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SUCCEEDED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INCONCLUSIVE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程序完成，但必要 QoI/因果证据不足。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FAILED / CANCELLED</w:t>
            </w:r>
          </w:p>
        </w:tc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NOT_EVALUATED</w:t>
            </w:r>
          </w:p>
        </w:tc>
        <w:tc>
          <w:tcPr>
            <w:tcW w:type="dxa" w:w="481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执行未完成，不能评价任务目标。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任务真值：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正常退出不等于任务成功。低 CNR、未发生有效下传、功率母线不可用、注入目标未命中等必须由 Mission Gate/Physics Gate 反映。</w:t>
            </w:r>
          </w:p>
        </w:tc>
      </w:tr>
    </w:tbl>
    <w:p>
      <w:pPr>
        <w:spacing w:after="0"/>
      </w:pPr>
    </w:p>
    <w:p>
      <w:pPr>
        <w:pStyle w:val="Heading1"/>
      </w:pPr>
      <w:r>
        <w:t>10. 仿真 Agent 编排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机器可读产物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主要责任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输入理解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DraftTaskSpec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LLM/模板抽取意图和字段，允许待确认项。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规范化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CanonicalTaskSpec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Pydantic/JSON Schema、单位、事件语义、字段 provenance。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能力解析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ResolvedSpec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锁定 capability、owner、依赖、参数/Claim 上限、effect/output binding。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计划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ExecutionPlan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受限 DAG、资源锁、分支、计划 Hash。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执行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PreparedRun / ExecutionAttempt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精确 Plan Hash 提交，调用注册 Runner。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验证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ValidationOutcome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任务断言、注入 Delivery/Effect、四态结论。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声明</w:t>
            </w:r>
          </w:p>
        </w:tc>
        <w:tc>
          <w:tcPr>
            <w:tcW w:type="dxa" w:w="294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ClaimReport</w:t>
            </w:r>
          </w:p>
        </w:tc>
        <w:tc>
          <w:tcPr>
            <w:tcW w:type="dxa" w:w="498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allowed/forbidden claims、limitations、证据和 reason codes。</w:t>
            </w:r>
          </w:p>
        </w:tc>
      </w:tr>
    </w:tbl>
    <w:p>
      <w:pPr>
        <w:spacing w:after="0"/>
      </w:pPr>
    </w:p>
    <w:p>
      <w:r>
        <w:rPr>
          <w:rFonts w:ascii="Noto Sans CJK SC" w:hAnsi="Noto Sans CJK SC" w:eastAsia="Noto Sans CJK SC"/>
          <w:b w:val="0"/>
          <w:color w:val="243447"/>
          <w:sz w:val="21"/>
        </w:rPr>
        <w:t>Agent 允许的语义工具包括列举能力、读取契约、校验/迁移 TaskSpec、规划、导出脚本、执行注册仿真和检查制品。明确禁止任意 Python、私有模块、直接构造 Basilisk、修改源代码和放宽门限。</w:t>
      </w:r>
    </w:p>
    <w:p>
      <w:pPr>
        <w:pStyle w:val="Heading2"/>
      </w:pPr>
      <w:r>
        <w:t>10.1 模型路由与 RAG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等级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工作</w:t>
            </w:r>
          </w:p>
        </w:tc>
        <w:tc>
          <w:tcPr>
            <w:tcW w:type="dxa" w:w="44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L0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表单/YAML/Patch、校验、规划、执行、报告。</w:t>
            </w:r>
          </w:p>
        </w:tc>
        <w:tc>
          <w:tcPr>
            <w:tcW w:type="dxa" w:w="44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不调用模型。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L1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简单自然语言和单字段修改。</w:t>
            </w:r>
          </w:p>
        </w:tc>
        <w:tc>
          <w:tcPr>
            <w:tcW w:type="dxa" w:w="44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本地模板或小模型。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L2</w:t>
            </w:r>
          </w:p>
        </w:tc>
        <w:tc>
          <w:tcPr>
            <w:tcW w:type="dxa" w:w="362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长需求、多分系统、多事件语义解析。</w:t>
            </w:r>
          </w:p>
        </w:tc>
        <w:tc>
          <w:tcPr>
            <w:tcW w:type="dxa" w:w="4479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服务器模型；不可用时必须显式 fallback。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FFF2C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RAG 权限：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RAG 可检索文档、示例和参数解释，但不能决定 capability support、owner、runner、native/proxy、参数等级、Claim 或运行时注入真值。</w:t>
            </w:r>
          </w:p>
        </w:tc>
      </w:tr>
    </w:tbl>
    <w:p>
      <w:pPr>
        <w:spacing w:after="0"/>
      </w:pPr>
    </w:p>
    <w:p>
      <w:pPr>
        <w:pStyle w:val="Heading1"/>
      </w:pPr>
      <w:r>
        <w:t>11. 运行制品与可追溯性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runs/&lt;run_id&gt;/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├── input/        # TaskSpec、ResolvedSpec、ExecutionPlan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├── runtime/      # PreparedRun、CompiledTask、ExecutionTrace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├── attempts/     # append-only ExecutionAttempt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├── results/      # telemetry、summary、dataset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├── validation/   # ValidationOutcome、ClaimReport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├── run_record.json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├── bundle_manifest.json</w:t>
      </w:r>
    </w:p>
    <w:p>
      <w:pPr>
        <w:pStyle w:val="CodeBlock"/>
        <w:keepLines/>
      </w:pPr>
      <w:r>
        <w:rPr>
          <w:rFonts w:ascii="Noto Sans Mono CJK SC" w:hAnsi="Noto Sans Mono CJK SC" w:eastAsia="Noto Sans Mono CJK SC"/>
          <w:color w:val="263238"/>
          <w:sz w:val="16"/>
        </w:rPr>
        <w:t>└── SEALED.json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同一逻辑 Run 可包含最多两个基础设施重试 Attempt；mission FAIL 和证据不足不自动重试。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TaskSpec 或 ExecutionPlan 语义变化必须创建新 Run。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封存后的旧 Run 不覆盖；新 Run 可通过 supersedes_run_id 指向旧 Run。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bundle_manifest.json 保存文件级 SHA-256，可通过 inspect/report/verify 检查完整性。</w:t>
      </w:r>
    </w:p>
    <w:p>
      <w:pPr>
        <w:pStyle w:val="Heading1"/>
      </w:pPr>
      <w:r>
        <w:t>12. 新增或修改模型的方法</w:t>
      </w:r>
    </w:p>
    <w:p>
      <w:pPr>
        <w:ind w:left="113" w:right="113"/>
        <w:shd w:fill="F7F9FB"/>
      </w:pPr>
      <w:r>
        <w:rPr>
          <w:rFonts w:ascii="Noto Sans CJK SC" w:hAnsi="Noto Sans CJK SC" w:eastAsia="Noto Sans CJK SC"/>
          <w:color w:val="34495E"/>
          <w:sz w:val="20"/>
        </w:rPr>
        <w:t>模型扩展应先决定“物理能力属于哪个层级、映射到哪个 Basilisk 原生目标、如何观测和如何声明”，再编写代码。不要先写脚本，后补能力边界。</w:t>
      </w:r>
    </w:p>
    <w:p>
      <w:pPr>
        <w:pStyle w:val="Heading2"/>
      </w:pPr>
      <w:r>
        <w:t>12.1 新增部件模型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43447"/>
          <w:sz w:val="20"/>
        </w:rPr>
        <w:t>在 src/components/&lt;name&gt;/schemas.py 定义 Config/Spec、单位和范围；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43447"/>
          <w:sz w:val="20"/>
        </w:rPr>
        <w:t>在 builder.py 创建/配置 Basilisk 对象并实际消费每个公开参数；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43447"/>
          <w:sz w:val="20"/>
        </w:rPr>
        <w:t>在 faults.py、degradation.py 中只实现部件拥有的 native effect；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43447"/>
          <w:sz w:val="20"/>
        </w:rPr>
        <w:t>在 runner.py 提供最小 nominal/fault/degradation 场景和结构化输出；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color w:val="243447"/>
          <w:sz w:val="20"/>
        </w:rPr>
        <w:t>增加 component capability YAML，声明 owner、inputs、effects、QoI、Claim ceiling；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6. </w:t>
      </w:r>
      <w:r>
        <w:rPr>
          <w:rFonts w:ascii="Noto Sans CJK SC" w:hAnsi="Noto Sans CJK SC" w:eastAsia="Noto Sans CJK SC"/>
          <w:color w:val="243447"/>
          <w:sz w:val="20"/>
        </w:rPr>
        <w:t>增加 builder contract、native audit、QoI 和事件测试。</w:t>
      </w:r>
    </w:p>
    <w:p>
      <w:pPr>
        <w:pStyle w:val="Heading2"/>
      </w:pPr>
      <w:r>
        <w:t>12.2 新增分系统模型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43447"/>
          <w:sz w:val="20"/>
        </w:rPr>
        <w:t>通过部件 builder 组装，不复制部件物理；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43447"/>
          <w:sz w:val="20"/>
        </w:rPr>
        <w:t>建立消息连接、估计/控制/功率/数据链；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43447"/>
          <w:sz w:val="20"/>
        </w:rPr>
        <w:t>定义分系统 faults/degradation 作为部件 effect 的组合或链路级 effect；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43447"/>
          <w:sz w:val="20"/>
        </w:rPr>
        <w:t>提供多个正常场景和故障/退化/组合场景；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color w:val="243447"/>
          <w:sz w:val="20"/>
        </w:rPr>
        <w:t>验证依赖闭包、资源锁、输出 QoI 和层级所有权。</w:t>
      </w:r>
    </w:p>
    <w:p>
      <w:pPr>
        <w:pStyle w:val="Heading2"/>
      </w:pPr>
      <w:r>
        <w:t>12.3 新增整星或任务能力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1. </w:t>
      </w:r>
      <w:r>
        <w:rPr>
          <w:rFonts w:ascii="Noto Sans CJK SC" w:hAnsi="Noto Sans CJK SC" w:eastAsia="Noto Sans CJK SC"/>
          <w:color w:val="243447"/>
          <w:sz w:val="20"/>
        </w:rPr>
        <w:t>仅在 whole_spacecraft.builder 创建中心 Spacecraft；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2. </w:t>
      </w:r>
      <w:r>
        <w:rPr>
          <w:rFonts w:ascii="Noto Sans CJK SC" w:hAnsi="Noto Sans CJK SC" w:eastAsia="Noto Sans CJK SC"/>
          <w:color w:val="243447"/>
          <w:sz w:val="20"/>
        </w:rPr>
        <w:t>调用分系统 builder，连接跨系统合同，不直接导入 components.*；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3. </w:t>
      </w:r>
      <w:r>
        <w:rPr>
          <w:rFonts w:ascii="Noto Sans CJK SC" w:hAnsi="Noto Sans CJK SC" w:eastAsia="Noto Sans CJK SC"/>
          <w:color w:val="243447"/>
          <w:sz w:val="20"/>
        </w:rPr>
        <w:t>将任务模式、地面站窗口、载荷调度和跨系统 Mission Gate 放在整星层；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4. </w:t>
      </w:r>
      <w:r>
        <w:rPr>
          <w:rFonts w:ascii="Noto Sans CJK SC" w:hAnsi="Noto Sans CJK SC" w:eastAsia="Noto Sans CJK SC"/>
          <w:color w:val="243447"/>
          <w:sz w:val="20"/>
        </w:rPr>
        <w:t>为 ExecutionPlan 声明依赖图、输出和可验证终态；</w:t>
      </w:r>
    </w:p>
    <w:p>
      <w:pPr>
        <w:spacing w:after="40"/>
        <w:ind w:left="397" w:hanging="255"/>
      </w:pPr>
      <w:r>
        <w:rPr>
          <w:rFonts w:ascii="Noto Sans CJK SC" w:hAnsi="Noto Sans CJK SC" w:eastAsia="Noto Sans CJK SC"/>
          <w:b/>
          <w:color w:val="1F4E79"/>
          <w:sz w:val="20"/>
        </w:rPr>
        <w:t xml:space="preserve">5. </w:t>
      </w:r>
      <w:r>
        <w:rPr>
          <w:rFonts w:ascii="Noto Sans CJK SC" w:hAnsi="Noto Sans CJK SC" w:eastAsia="Noto Sans CJK SC"/>
          <w:color w:val="243447"/>
          <w:sz w:val="20"/>
        </w:rPr>
        <w:t>增加代表性实际运行和 Golden Set 案例。</w:t>
      </w:r>
    </w:p>
    <w:p>
      <w:pPr>
        <w:pStyle w:val="Heading2"/>
      </w:pPr>
      <w:r>
        <w:t>12.4 扩展验收清单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69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通过条件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Schema</w:t>
            </w:r>
          </w:p>
        </w:tc>
        <w:tc>
          <w:tcPr>
            <w:tcW w:type="dxa" w:w="69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字段、单位、默认值和范围明确；无 builder 内重复 schema。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Native 映射</w:t>
            </w:r>
          </w:p>
        </w:tc>
        <w:tc>
          <w:tcPr>
            <w:tcW w:type="dxa" w:w="69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实际写入存在且语义一致的字段/消息；无输出伪造。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层级所有权</w:t>
            </w:r>
          </w:p>
        </w:tc>
        <w:tc>
          <w:tcPr>
            <w:tcW w:type="dxa" w:w="69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依赖方向正确，无重复创建、反向导入或越层 fault。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事件</w:t>
            </w:r>
          </w:p>
        </w:tc>
        <w:tc>
          <w:tcPr>
            <w:tcW w:type="dxa" w:w="69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有 target、时间、恢复和应用证据。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QoI</w:t>
            </w:r>
          </w:p>
        </w:tc>
        <w:tc>
          <w:tcPr>
            <w:tcW w:type="dxa" w:w="69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至少一个指标能验证目标 effect 或明确 INCONCLUSIVE。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参数</w:t>
            </w:r>
          </w:p>
        </w:tc>
        <w:tc>
          <w:tcPr>
            <w:tcW w:type="dxa" w:w="69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注册来源、confidence、uncertainty 和 Claim ceiling。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Agent</w:t>
            </w:r>
          </w:p>
        </w:tc>
        <w:tc>
          <w:tcPr>
            <w:tcW w:type="dxa" w:w="69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Capability Contract、owner、依赖、输出和公开入口完整。</w:t>
            </w:r>
          </w:p>
        </w:tc>
      </w:tr>
      <w:tr>
        <w:trPr>
          <w:cantSplit/>
        </w:trPr>
        <w:tc>
          <w:tcPr>
            <w:tcW w:type="dxa" w:w="243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测试</w:t>
            </w:r>
          </w:p>
        </w:tc>
        <w:tc>
          <w:tcPr>
            <w:tcW w:type="dxa" w:w="691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单元、合同、运行、Golden/代表案例按风险补齐。</w:t>
            </w:r>
          </w:p>
        </w:tc>
      </w:tr>
    </w:tbl>
    <w:p>
      <w:pPr>
        <w:spacing w:after="0"/>
      </w:pPr>
    </w:p>
    <w:p>
      <w:pPr>
        <w:pStyle w:val="Heading1"/>
      </w:pPr>
      <w:r>
        <w:t>13. 已知边界与使用结论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本地 FastAPI 是同步、单机、无生产级鉴权的开发入口，不是多租户控制面。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轻量 wheel 不携带大型 SPICE 内核；严格环境任务需使用完整源码包或外部资产路径。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正式 140×5 基线使用确定性本地路径；真实 Qwen/DeepSeek/vLLM 需单独形成 Provider 报告。</w:t>
      </w:r>
    </w:p>
    <w:p>
      <w:pPr>
        <w:pStyle w:val="ListBullet"/>
        <w:spacing w:after="40"/>
      </w:pPr>
      <w:r>
        <w:t xml:space="preserve"> 已清除 candidate effect-QoI 状态；但 VERIFIED_NATIVE_EFFECT 在本项目中指注册实现效果通过直接证据门禁，仍不得提升为硬件标定、飞行相关或认证结论。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自动修复只处理非语义兼容问题，不能把 mission FAIL 改成 PASS。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color w:val="243447"/>
          <w:sz w:val="20"/>
        </w:rPr>
        <w:t>模型库覆盖并不等于所有参数均为 ground_calibrated 或 flight_correlated。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rPr>
          <w:tblHeader w:val="true"/>
        </w:trPr>
        <w:tc>
          <w:tcPr>
            <w:tcW w:type="dxa" w:w="9752"/>
            <w:shd w:fill="D9EA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SC" w:hAnsi="Noto Sans CJK SC" w:eastAsia="Noto Sans CJK SC"/>
                <w:b/>
                <w:color w:val="1F4E79"/>
                <w:sz w:val="20"/>
              </w:rPr>
              <w:t>使用结论：</w:t>
            </w:r>
            <w:r>
              <w:rPr>
                <w:rFonts w:ascii="Noto Sans CJK SC" w:hAnsi="Noto Sans CJK SC" w:eastAsia="Noto Sans CJK SC"/>
                <w:color w:val="243447"/>
                <w:sz w:val="20"/>
              </w:rPr>
              <w:t>本项目已具备受控创建、规划、执行、验证和审计卫星仿真的工程框架；具体任务可信度仍由选用能力、参数证据、环境资产、QoI 和验证范围共同决定。</w:t>
            </w:r>
          </w:p>
        </w:tc>
      </w:tr>
    </w:tbl>
    <w:p>
      <w:pPr>
        <w:spacing w:after="0"/>
      </w:pPr>
    </w:p>
    <w:p>
      <w:pPr>
        <w:pStyle w:val="Heading1"/>
      </w:pPr>
      <w:r>
        <w:t>14. 附录：术语和关键文件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术语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Capability Contract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描述一项可用仿真能力的层级、owner、参数、依赖、effect、QoI 和边界。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Operator Contract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Capability 的标准化可执行视图，含前置条件、幂等、重试、资源锁等。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QoI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Quantity of Interest，仿真质量/任务指标。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Proxy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项目代理模型，不得声称为 Basilisk 原生物理。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Claim ceiling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参数和能力允许的最高报告声明。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Run Bundle</w:t>
            </w:r>
          </w:p>
        </w:tc>
        <w:tc>
          <w:tcPr>
            <w:tcW w:type="dxa" w:w="7087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一次逻辑运行的不可变输入、计划、尝试、结果、验证和 Hash 集合。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1F4E79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关键文件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层级规范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docs/LAYER_OWNERSHIP_AND_SCHEMA_STANDARD.md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原生映射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docs/NATIVE_COMPONENT_MAPPING_STANDARD.md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参数证据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docs/PARAMETER_PROVENANCE_STANDARD.md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无真实数据策略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docs/CALIBRATION_EVIDENCE_SURROGATE_STANDARD.md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Agent 边界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docs/AGENT_CAPABILITY_BOUNDARY.md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TaskSpec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docs/TASKSPEC_V1.md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执行计划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docs/RESOLVED_SPEC_EXECUTION_DAG_既有工程版本.md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运行制品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  <w:shd w:fill="F8FAFC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docs/DETERMINISTIC_EXECUTOR_RUNBUNDLE_既有工程版本.md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验证与声明</w:t>
            </w:r>
          </w:p>
        </w:tc>
        <w:tc>
          <w:tcPr>
            <w:tcW w:type="dxa" w:w="6520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color w:val="243447"/>
                <w:sz w:val="17"/>
              </w:rPr>
              <w:t>docs/VALIDATION_REPAIR_CLAIM_既有工程版本.md</w:t>
            </w:r>
          </w:p>
        </w:tc>
      </w:tr>
    </w:tbl>
    <w:p>
      <w:pPr>
        <w:spacing w:after="0"/>
      </w:pPr>
    </w:p>
    <w:p>
      <w:pPr>
        <w:pStyle w:val="Heading1"/>
      </w:pPr>
      <w:r>
        <w:t>15.  发布冻结与证据状态</w:t>
      </w:r>
    </w:p>
    <w:p>
      <w:r>
        <w:t xml:space="preserve"> 不新增仿真物理能力，重点是把 ～ 的运行时正确性、公开 API、异常诊断和 effect-QoI 证据固定为正式发布基线。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</w:trPr>
        <w:tc>
          <w:tcPr>
            <w:tcW w:type="dxa" w:w="3251"/>
          </w:tcPr>
          <w:p>
            <w:r>
              <w:t>证据类别</w:t>
            </w:r>
          </w:p>
        </w:tc>
        <w:tc>
          <w:tcPr>
            <w:tcW w:type="dxa" w:w="3251"/>
          </w:tcPr>
          <w:p>
            <w:r>
              <w:t xml:space="preserve"> 状态</w:t>
            </w:r>
          </w:p>
        </w:tc>
        <w:tc>
          <w:tcPr>
            <w:tcW w:type="dxa" w:w="3251"/>
          </w:tcPr>
          <w:p>
            <w:r>
              <w:t>允许的解释</w:t>
            </w:r>
          </w:p>
        </w:tc>
      </w:tr>
      <w:tr>
        <w:tc>
          <w:tcPr>
            <w:tcW w:type="dxa" w:w="3251"/>
          </w:tcPr>
          <w:p>
            <w:r>
              <w:t>注册实现效果</w:t>
            </w:r>
          </w:p>
        </w:tc>
        <w:tc>
          <w:tcPr>
            <w:tcW w:type="dxa" w:w="3251"/>
          </w:tcPr>
          <w:p>
            <w:r>
              <w:t>13 项 VERIFIED_NATIVE_EFFECT（implementation=source_native）</w:t>
            </w:r>
          </w:p>
        </w:tc>
        <w:tc>
          <w:tcPr>
            <w:tcW w:type="dxa" w:w="3251"/>
          </w:tcPr>
          <w:p>
            <w:r>
              <w:t>仅证明当前注册实现和 QoI 断言；不是硬件或飞行验证</w:t>
            </w:r>
          </w:p>
        </w:tc>
      </w:tr>
      <w:tr>
        <w:tc>
          <w:tcPr>
            <w:tcW w:type="dxa" w:w="3251"/>
          </w:tcPr>
          <w:p>
            <w:r>
              <w:t>项目代理</w:t>
            </w:r>
          </w:p>
        </w:tc>
        <w:tc>
          <w:tcPr>
            <w:tcW w:type="dxa" w:w="3251"/>
          </w:tcPr>
          <w:p>
            <w:r>
              <w:t>1 项 PROJECT_PROXY：solar_panel.deployment_failure</w:t>
            </w:r>
          </w:p>
        </w:tc>
        <w:tc>
          <w:tcPr>
            <w:tcW w:type="dxa" w:w="3251"/>
          </w:tcPr>
          <w:p>
            <w:r>
              <w:t>需 allow_proxy=true；只能作代理范围声明</w:t>
            </w:r>
          </w:p>
        </w:tc>
      </w:tr>
      <w:tr>
        <w:tc>
          <w:tcPr>
            <w:tcW w:type="dxa" w:w="3251"/>
          </w:tcPr>
          <w:p>
            <w:r>
              <w:t>交付边界外</w:t>
            </w:r>
          </w:p>
        </w:tc>
        <w:tc>
          <w:tcPr>
            <w:tcW w:type="dxa" w:w="3251"/>
          </w:tcPr>
          <w:p>
            <w:r>
              <w:t>1 项 OUT_OF_SCOPE：battery.self_discharge_rate_increase_pct</w:t>
            </w:r>
          </w:p>
        </w:tc>
        <w:tc>
          <w:tcPr>
            <w:tcW w:type="dxa" w:w="3251"/>
          </w:tcPr>
          <w:p>
            <w:r>
              <w:t>规划阶段拒绝并要求模型扩展</w:t>
            </w:r>
          </w:p>
        </w:tc>
      </w:tr>
      <w:tr>
        <w:tc>
          <w:tcPr>
            <w:tcW w:type="dxa" w:w="3251"/>
          </w:tcPr>
          <w:p>
            <w:r>
              <w:t>异常处理</w:t>
            </w:r>
          </w:p>
        </w:tc>
        <w:tc>
          <w:tcPr>
            <w:tcW w:type="dxa" w:w="3251"/>
          </w:tcPr>
          <w:p>
            <w:r>
              <w:t>110 个原静默点全部进入策略和诊断账本</w:t>
            </w:r>
          </w:p>
        </w:tc>
        <w:tc>
          <w:tcPr>
            <w:tcW w:type="dxa" w:w="3251"/>
          </w:tcPr>
          <w:p>
            <w:r>
              <w:t>关键类别在 strict diagnostics 下直接失败</w:t>
            </w:r>
          </w:p>
        </w:tc>
      </w:tr>
      <w:tr>
        <w:tc>
          <w:tcPr>
            <w:tcW w:type="dxa" w:w="3251"/>
          </w:tcPr>
          <w:p>
            <w:r>
              <w:t>代码结构</w:t>
            </w:r>
          </w:p>
        </w:tc>
        <w:tc>
          <w:tcPr>
            <w:tcW w:type="dxa" w:w="3251"/>
          </w:tcPr>
          <w:p>
            <w:r>
              <w:t>重复顶层定义、F821/F822/F811/F841 均为 0</w:t>
            </w:r>
          </w:p>
        </w:tc>
        <w:tc>
          <w:tcPr>
            <w:tcW w:type="dxa" w:w="3251"/>
          </w:tcPr>
          <w:p>
            <w:r>
              <w:t>降低死代码和公开 API 漂移风险</w:t>
            </w:r>
          </w:p>
        </w:tc>
      </w:tr>
    </w:tbl>
    <w:p>
      <w:r>
        <w:t>使用结论不变：工程可信度由模型映射、参数证据、环境资产、任务工况、QoI 和验证范围共同决定。软件发布门禁通过不能替代硬件标定、飞行相关或认证活动。</w:t>
      </w:r>
    </w:p>
    <w:sectPr>
      <w:headerReference w:type="default" r:id="rId9"/>
      <w:footerReference w:type="default" r:id="rId10"/>
      <w:headerReference w:type="first" r:id="rId13"/>
      <w:headerReference w:type="even" r:id="rId14"/>
      <w:footerReference w:type="first" r:id="rId15"/>
      <w:footerReference w:type="even" r:id="rId16"/>
      <w:pgSz w:w="11906" w:h="16838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>
      <w:r>
        <w:t>1</w:t>
      </w:r>
    </w:fldSimple>
    <w: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C7D3DE"/>
      </w:pBdr>
    </w:pPr>
    <w:r>
      <w:t>卫星仿真项目建模说明｜0.5.3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3447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40" w:after="60"/>
    </w:pPr>
    <w:rPr>
      <w:rFonts w:asciiTheme="majorHAnsi" w:eastAsiaTheme="majorEastAsia" w:hAnsiTheme="majorHAnsi" w:cstheme="majorBidi" w:ascii="Noto Sans CJK SC" w:hAnsi="Noto Sans CJK SC" w:eastAsia="Noto Sans CJK SC"/>
      <w:b/>
      <w:i/>
      <w:iCs/>
      <w:color w:val="5872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00" w:line="252" w:lineRule="auto"/>
      <w:ind w:left="198" w:right="113"/>
      <w:shd w:fill="F2F4F7"/>
    </w:pPr>
    <w:rPr>
      <w:rFonts w:ascii="Noto Sans Mono CJK SC" w:hAnsi="Noto Sans Mono CJK SC" w:eastAsia="Noto Sans Mono CJK SC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卫星仿真项目建模说明 V2.0（）</dc:title>
  <dc:subject>Basilisk 分层模型、能力所有权、参数与 effect-QoI 证据、Agent 编排和  发布边界</dc:subject>
  <dc:creator/>
  <cp:keywords>卫星仿真, Basilisk, TaskSpec, Agent, V33</cp:keywords>
  <dc:description>V33 正式重新冻结交付文档</dc:description>
  <cp:lastModifiedBy/>
  <cp:revision>1</cp:revision>
  <dcterms:created xsi:type="dcterms:W3CDTF">2026-07-11T14:00:00Z</dcterms:created>
  <dcterms:modified xsi:type="dcterms:W3CDTF">2026-07-11T14:00:00Z</dcterms:modified>
  <cp:category>工程建模与使用说明</cp:category>
  <cp:version>0.5.3</cp:version>
</cp:coreProperties>
</file>