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726F4" w14:textId="77777777" w:rsidR="00A70A59" w:rsidRDefault="00000000">
      <w:pPr>
        <w:pStyle w:val="ad"/>
        <w:spacing w:after="240"/>
        <w:jc w:val="center"/>
      </w:pPr>
      <w:r>
        <w:rPr>
          <w:rFonts w:ascii="Arial Unicode MS" w:eastAsia="Arial Unicode MS" w:hAnsi="Arial Unicode MS" w:cs="Arial Unicode MS"/>
        </w:rPr>
        <w:t>美国国会施压封堵中国车企“在美生产”通道对中国汽车行业的风险挑战及对策建议</w:t>
      </w:r>
    </w:p>
    <w:p w14:paraId="4A1E58A0" w14:textId="77777777" w:rsidR="00A70A59" w:rsidRDefault="00000000">
      <w:pPr>
        <w:spacing w:after="240"/>
        <w:jc w:val="center"/>
      </w:pPr>
      <w:r>
        <w:rPr>
          <w:rFonts w:ascii="Arial Unicode MS" w:eastAsia="Arial Unicode MS" w:hAnsi="Arial Unicode MS" w:cs="Arial Unicode MS"/>
          <w:color w:val="5A5A5A"/>
          <w:lang w:val="zh-CN"/>
        </w:rPr>
        <w:t>（依据路透社等公开报道及截至2026年9月22日美国立法、行政进展）</w:t>
      </w:r>
    </w:p>
    <w:p w14:paraId="093AC0E1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2026年9月21日，路透社披露，密歇根州民主党众议员丁格尔牵头的27名众议员联名致信特朗普总统，要求维持对中国汽车和车联网技术的限制，确保中国不能通过直接进口、本地生产及其他规避方式进入美国市场。该信不改变现行法律，但直指特朗普9月11日“可接受中国车企来美建厂”的表态，并选在9月24日中美元首会晤前投出，意在压缩行政部门以汽车换协议的空间。与之同步，行业协会推动国会年内通过永久禁令，参众两院法案已进入委员会审议。美国对华汽车限制正从关税和进口管制，延伸到本地投资、股权结构、技术授权和供应关系。建议高度关注，及早统筹应对。</w:t>
      </w:r>
    </w:p>
    <w:p w14:paraId="2E06278B" w14:textId="77777777" w:rsidR="00A70A59" w:rsidRDefault="00000000">
      <w:pPr>
        <w:pStyle w:val="1"/>
      </w:pPr>
      <w:r>
        <w:rPr>
          <w:rFonts w:ascii="Arial Unicode MS" w:eastAsia="Arial Unicode MS" w:hAnsi="Arial Unicode MS" w:cs="Arial Unicode MS"/>
          <w:sz w:val="32"/>
          <w:lang w:val="zh-CN"/>
        </w:rPr>
        <w:t>一、此事最新动向</w:t>
      </w:r>
    </w:p>
    <w:p w14:paraId="3D27D4FD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（一）27名众议员联名致信，把“本地生产”明确列入封堵范围</w:t>
      </w:r>
    </w:p>
    <w:p w14:paraId="3C22D16A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联名信核心表述为：“确保中国不能通过直接进口、本地生产及其他规避途径进入我们的市场”，将补贴倾销、就业、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供应链和国家安全风险并列为反对松动的理由。丁格尔随后发布视频，称对总统“让中国在美国造车”的说法反应“非常强烈”，明确表态“这不可以”。此前，密歇根州参议员斯洛特金已警告“有传言称总统计划在一揽子协议中允许中国汽车进入美国”，称此举是“战略性错误”。</w:t>
      </w:r>
    </w:p>
    <w:p w14:paraId="1EC8B1BE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（二）特朗普口径松动，但行政部门内部并不一致</w:t>
      </w:r>
    </w:p>
    <w:p w14:paraId="14577E86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9月11日，特朗普在福克斯新闻表示“如果中国想来开一家工厂在这里造车，我可以接受”，以日本车企为例强调“关键是雇用我们的人”，同时不接受在墨西哥生产后运入美国，重申“我们不允许他的车进入美国”。但交通部长达菲9月8日致信福特，对其使用宁德时代授权技术、与吉利在西班牙合资、与比亚迪商谈供应表示“深切关注”，要求切断合作，并质疑福特1月向政府提议“在美国本土促成中国合资项目”。总统设想的“建厂换准入”，恰是其交通部门刚定性为安全风险的形态。</w:t>
      </w:r>
    </w:p>
    <w:p w14:paraId="7B9D8C81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（三）国会立法与行业游说同步推进，意在把行政规则升级为永久法律</w:t>
      </w:r>
    </w:p>
    <w:p w14:paraId="6624290C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现行限制的法律基础是商务部2025年3月生效的《车联网汽车规则》：2027车型年起禁止含中国关联软件的车联网汽车，2030车型年起扩展至硬件，并禁止受中国控制的车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企在美销售车联网汽车，无论产地；规则保留商务部逐案“特定授权”通道。国会正以此立法：参议院S.4429于7月22日在商务委员会通过，众议院H.R.8730于5月11日提交，已有20余名两党议员联署。9月3日，美国汽车创新联盟致信国会，要求年内通过“对中国汽车、软件和硬件的永久禁令”，并建议取消商务部特定授权。中国驻美使馆已表示反对。</w:t>
      </w:r>
    </w:p>
    <w:p w14:paraId="144798B0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（四）后续走向取决于三个时间节点</w:t>
      </w:r>
    </w:p>
    <w:p w14:paraId="19B95DEC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近期看，9月24日元首会晤主议题是关税休战延期及农产品、波音、人工智能等事项，汽车准入即使提及也难以形成对国会有约束力的安排。中期看，年底前国会能否完成两院审议是第二个节点，中期选举临近，汽车州议员和行业协会都有动机推动表决，即使本届未完成，下届也会重提。较长期看，2027年1月1日法案禁令、现行规则软件限制和对加拿大汽车加征50%关税集中生效。总体判断：总统层面的松动不足以对冲国会、行业和行政部门的合力，“中国资本控制的车企不得在美生产和销售车联网汽车”的方向不会逆转。</w:t>
      </w:r>
    </w:p>
    <w:p w14:paraId="7754F33C" w14:textId="77777777" w:rsidR="00A70A59" w:rsidRDefault="00000000">
      <w:pPr>
        <w:pStyle w:val="1"/>
      </w:pPr>
      <w:r>
        <w:rPr>
          <w:rFonts w:ascii="Arial Unicode MS" w:eastAsia="Arial Unicode MS" w:hAnsi="Arial Unicode MS" w:cs="Arial Unicode MS"/>
          <w:sz w:val="32"/>
          <w:lang w:val="zh-CN"/>
        </w:rPr>
        <w:t>二、风险评估</w:t>
      </w:r>
    </w:p>
    <w:p w14:paraId="11043019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lastRenderedPageBreak/>
        <w:t>（一）“本地建厂换准入”路径面临被提前封死</w:t>
      </w:r>
    </w:p>
    <w:p w14:paraId="68B5E6C0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国会法案把限制标准从“产品来源”改为“控制关系”。H.R.8730规定，2027年1月1日起，凡原产或设计于受管辖国家的车联网汽车，或制造商属于受管辖国家实体持有超过15%股权、表决权、董事席位或其他控制标志的合资企业、子公司，均禁止在美进口、制造、销售；软件和硬件门槛为25%，更名、换标、重组规避同样适用，每次违规罚款不低于150万美元。这意味着中国车企即便在美控股建厂、雇用美国工人、数据本地化，仍不能销售；低于15%参股则等于放弃控制权和品牌。福特1月提出的“美方控股合资框架”已遭通用反对、交通部批评，在该门槛下同样难以成立。</w:t>
      </w:r>
    </w:p>
    <w:p w14:paraId="25625261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（二）限制范围从整车扩展到软件、硬件、技术授权和供应关系</w:t>
      </w:r>
    </w:p>
    <w:p w14:paraId="47FF2C07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达菲致福特信所批评的电池技术授权、境外合资、零部件供应三项合作，均不涉及中国品牌整车进入美国，却被统一定性为“对战略竞争对手的运营依赖”。结合软硬件分阶段禁令和法案对“设计于受管辖国家”产品的覆盖，中国企业面向美国的电池、智驾软件、座舱、通信模组、车规芯片及技术许可、联合开发等轻资产模式，都可能被要求脱钩或重新审查。已进入北美供应链的中国零部件企业，以及与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中国企业存在合作的美欧日韩车企，政治风险同步上升，美方伙伴主动收缩合作的可能性增大。</w:t>
      </w:r>
    </w:p>
    <w:p w14:paraId="2348EBC0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（三）安全化叙事形成两党共识，限制门槛将长期化</w:t>
      </w:r>
    </w:p>
    <w:p w14:paraId="3F88EB1C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联名信由民主党人发出，法案由两党共同提出，行业协会、州长和工会立场一致，国家安全叙事已跨越党派。美国政界日益把车辆理解为持续采集位置和驾驶数据的移动终端，并以中国法律要求企业配合国家安全工作为由，论证对中国整车、软件和零部件的特殊准入规则。一旦写入成文法，行政部门将失去特定授权和逐案豁免的调节空间，解除限制需国会重新立法，周期以十年计。中国汽车产业在美国面对的不再是可通过降价、本地化或谈判化解的商业壁垒，而是制度性排斥。</w:t>
      </w:r>
    </w:p>
    <w:p w14:paraId="02B05A28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（四）向北美一体化市场外溢，挤压中国车企的区域布局空间</w:t>
      </w:r>
    </w:p>
    <w:p w14:paraId="427F60DC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墨西哥已在美方压力下将中国汽车关税提高至50%，借道墨西哥进入美国基本失去可行性。加拿大今年1月与中方达成协议，允许每年4.9万辆中国电动汽车以6.1%关税进入，五年内增至约7万辆，吉利莲花已于7月首批到港，比亚迪、奇瑞正在认证。但美国汽车业公开批评该安排为中国车企进入北美的“后门”，特朗普政府宣布2027年1月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1日起对加拿大汽车加征50%关税，《美墨加协定》审议同期进行。中国车企若依托加拿大配额建厂，面临加方收紧、产品无法进入美国、投资难以摊薄的三重风险。北美三国对中国品牌、技术和资本的开放度正在收敛。</w:t>
      </w:r>
    </w:p>
    <w:p w14:paraId="2BB3B7D6" w14:textId="77777777" w:rsidR="00A70A59" w:rsidRDefault="00000000">
      <w:pPr>
        <w:pStyle w:val="1"/>
      </w:pPr>
      <w:r>
        <w:rPr>
          <w:rFonts w:ascii="Arial Unicode MS" w:eastAsia="Arial Unicode MS" w:hAnsi="Arial Unicode MS" w:cs="Arial Unicode MS"/>
          <w:sz w:val="32"/>
          <w:lang w:val="zh-CN"/>
        </w:rPr>
        <w:t>三、对策建议</w:t>
      </w:r>
    </w:p>
    <w:p w14:paraId="28A0440B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（一）把握元首会晤和国会立法窗口，明确底线诉求</w:t>
      </w:r>
    </w:p>
    <w:p w14:paraId="275F0F6C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建议商务、工信、外交等部门在9月24日会晤前后统一口径：不把在美建厂作为本轮谈判的交换目标，避免在国会已明确反对的议题上消耗筹码，也避免总统口头表态被解读为已获准入。工作重点放在两个可争取方向：一是推动法案文本保留商务部特定授权通道、为既有供应合同和技术授权设置过渡期、把“设计于受管辖国家”等过宽表述限定为可核查的技术标准；二是通过中美经贸磋商机制和世贸组织框架，对以股权比例而非产品风险为标准的歧视性条款保留法律追索权。同时用好美国汽车业内部分歧，与主张有条件合作的企业和州政府保持沟通。</w:t>
      </w:r>
    </w:p>
    <w:p w14:paraId="04DF6945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（二）建立对美汽车规则监测和企业合规分级机制</w:t>
      </w:r>
    </w:p>
    <w:p w14:paraId="09D6370A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建议以行业协会为依托，建立覆盖《车联网汽车规则》、参众两院法案、301和232关税、外国实体条款及交通部、国防部相关名单的动态台账，逐条对照整车、电池、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智驾软件、座舱、通信模组、车规芯片等品类，定期发布预警。企业分三类指导：已进入美国供应链的，重点评估控制门槛和2027年、2030年节点对现有合同的影响，提前商定替代和退出方案；在墨西哥、加拿大布局的，重点评估产品能否进入美国和东道国政策反复风险；尚未进入北美的，明确美国中期内不具备整车准入条件，不宜投入实质资源。</w:t>
      </w:r>
    </w:p>
    <w:p w14:paraId="7A0A2C3B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（三）调整北美布局策略，控制沉没成本和技术敞口</w:t>
      </w:r>
    </w:p>
    <w:p w14:paraId="734FDD13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建议企业现阶段不将美国建厂纳入投资决策，不接受以放弃控制权、开放源代码和核心工艺为前提的合资安排。对加拿大配额市场，以整车进口和售后网络为主，本地投资采取分期、可退出的轻资产方式，并以加方政策稳定性和产品能否进入美国作为追加投资的前置条件。对墨西哥现有产能，面向本地和拉美市场，避免以美国为目标扩产。技术授权类合作建立核心技术清单和分级授权制度，对电池配方、智驾算法、数据平台实行隔离。资源优先投向欧洲、东南亚、中东、拉美等准入条件相对确定的市场。</w:t>
      </w:r>
    </w:p>
    <w:p w14:paraId="59E115AA" w14:textId="77777777" w:rsidR="00A70A59" w:rsidRDefault="00000000">
      <w:pPr>
        <w:pStyle w:val="2"/>
      </w:pPr>
      <w:r>
        <w:rPr>
          <w:rFonts w:ascii="Arial Unicode MS" w:eastAsia="Arial Unicode MS" w:hAnsi="Arial Unicode MS" w:cs="Arial Unicode MS"/>
          <w:lang w:val="zh-CN"/>
        </w:rPr>
        <w:t>（四）主动塑造数据安全和技术合作的合规范式</w:t>
      </w:r>
    </w:p>
    <w:p w14:paraId="2B090D06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美方限制的核心论据是数据和远程控制风险，应以可验证方式回应而非回避。建议行业协会牵头制定车联网数据境</w:t>
      </w:r>
      <w:r>
        <w:rPr>
          <w:rFonts w:ascii="Arial Unicode MS" w:eastAsia="Arial Unicode MS" w:hAnsi="Arial Unicode MS" w:cs="Arial Unicode MS"/>
          <w:sz w:val="32"/>
          <w:lang w:val="zh-CN"/>
        </w:rPr>
        <w:lastRenderedPageBreak/>
        <w:t>外合规指引，推动企业在海外普遍采用数据本地存储、第三方安全审计、软件更新透明披露和源代码托管，形成可供第三国监管参照的中国方案，削弱“凡是中国车即是安全风险”的叙事基础。对与中国企业合作的美欧车企，主动提供合规文件和技术隔离方案。对外传播上，持续说明中国汽车市场对外资开放的事实，以及美国限制对其消费者价格、减排目标的反作用，防止美国规则在加拿大、欧盟、日韩之间联动。</w:t>
      </w:r>
    </w:p>
    <w:p w14:paraId="15457919" w14:textId="77777777" w:rsidR="00A70A59" w:rsidRDefault="00000000">
      <w:r>
        <w:rPr>
          <w:rFonts w:ascii="Arial Unicode MS" w:eastAsia="Arial Unicode MS" w:hAnsi="Arial Unicode MS" w:cs="Arial Unicode MS"/>
          <w:sz w:val="32"/>
          <w:lang w:val="zh-CN"/>
        </w:rPr>
        <w:t>（完）</w:t>
      </w:r>
    </w:p>
    <w:p w14:paraId="2543665C" w14:textId="77777777" w:rsidR="00A70A59" w:rsidRDefault="00A70A59"/>
    <w:p w14:paraId="057FD0E8" w14:textId="77777777" w:rsidR="00A70A59" w:rsidRDefault="00A70A59"/>
    <w:sectPr w:rsidR="00A70A5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58D90D" w14:textId="77777777" w:rsidR="00D109D7" w:rsidRDefault="00D109D7" w:rsidP="00685357">
      <w:r>
        <w:separator/>
      </w:r>
    </w:p>
  </w:endnote>
  <w:endnote w:type="continuationSeparator" w:id="0">
    <w:p w14:paraId="072FCC1D" w14:textId="77777777" w:rsidR="00D109D7" w:rsidRDefault="00D109D7" w:rsidP="0068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8D2D5" w14:textId="77777777" w:rsidR="008D5BC6" w:rsidRPr="008D5BC6" w:rsidRDefault="008D5BC6" w:rsidP="008F517F">
    <w:pPr>
      <w:pStyle w:val="a7"/>
      <w:jc w:val="right"/>
    </w:pPr>
    <w:r>
      <w:rPr>
        <w:noProof/>
      </w:rPr>
      <w:drawing>
        <wp:inline distT="0" distB="0" distL="0" distR="0" wp14:anchorId="4705BA45" wp14:editId="07F72C08">
          <wp:extent cx="1510284" cy="342199"/>
          <wp:effectExtent l="0" t="0" r="1270" b="127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284" cy="342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EF98A3" w14:textId="77777777" w:rsidR="00D109D7" w:rsidRDefault="00D109D7" w:rsidP="00685357">
      <w:r>
        <w:separator/>
      </w:r>
    </w:p>
  </w:footnote>
  <w:footnote w:type="continuationSeparator" w:id="0">
    <w:p w14:paraId="22F06AFD" w14:textId="77777777" w:rsidR="00D109D7" w:rsidRDefault="00D109D7" w:rsidP="00685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549AAE" w14:textId="77777777" w:rsidR="00685357" w:rsidRPr="00685357" w:rsidRDefault="00685357">
    <w:pPr>
      <w:pStyle w:val="a5"/>
      <w:rPr>
        <w:lang w:val="en-GB"/>
      </w:rPr>
    </w:pPr>
    <w:r>
      <w:t>V</w:t>
    </w:r>
    <w:r>
      <w:rPr>
        <w:rFonts w:hint="eastAsia"/>
      </w:rPr>
      <w:t>ehicle</w:t>
    </w:r>
    <w:r>
      <w:t xml:space="preserve"> </w:t>
    </w:r>
    <w:r>
      <w:rPr>
        <w:lang w:val="en-GB"/>
      </w:rPr>
      <w:t>VIP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867E3"/>
    <w:multiLevelType w:val="multilevel"/>
    <w:tmpl w:val="8E7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7520"/>
    <w:multiLevelType w:val="multilevel"/>
    <w:tmpl w:val="D65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0878"/>
    <w:multiLevelType w:val="multilevel"/>
    <w:tmpl w:val="38F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3124"/>
    <w:multiLevelType w:val="hybridMultilevel"/>
    <w:tmpl w:val="736C6E52"/>
    <w:lvl w:ilvl="0" w:tplc="54A8422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415DE9"/>
    <w:multiLevelType w:val="multilevel"/>
    <w:tmpl w:val="15C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231229">
    <w:abstractNumId w:val="1"/>
  </w:num>
  <w:num w:numId="2" w16cid:durableId="939335008">
    <w:abstractNumId w:val="4"/>
  </w:num>
  <w:num w:numId="3" w16cid:durableId="1816413151">
    <w:abstractNumId w:val="2"/>
  </w:num>
  <w:num w:numId="4" w16cid:durableId="548997666">
    <w:abstractNumId w:val="0"/>
  </w:num>
  <w:num w:numId="5" w16cid:durableId="11881042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59"/>
    <w:rsid w:val="00063C8A"/>
    <w:rsid w:val="00096FCF"/>
    <w:rsid w:val="000A7012"/>
    <w:rsid w:val="000B2BF6"/>
    <w:rsid w:val="000B52AA"/>
    <w:rsid w:val="00151ED6"/>
    <w:rsid w:val="00192B67"/>
    <w:rsid w:val="001C1BD6"/>
    <w:rsid w:val="001D6E56"/>
    <w:rsid w:val="003567FB"/>
    <w:rsid w:val="00363900"/>
    <w:rsid w:val="00397245"/>
    <w:rsid w:val="003A424F"/>
    <w:rsid w:val="003C311E"/>
    <w:rsid w:val="00401220"/>
    <w:rsid w:val="004309E0"/>
    <w:rsid w:val="00471CA4"/>
    <w:rsid w:val="004816EB"/>
    <w:rsid w:val="004C398E"/>
    <w:rsid w:val="004D6784"/>
    <w:rsid w:val="004E0DB8"/>
    <w:rsid w:val="004E0FC6"/>
    <w:rsid w:val="00511D17"/>
    <w:rsid w:val="00513899"/>
    <w:rsid w:val="00536C93"/>
    <w:rsid w:val="00551991"/>
    <w:rsid w:val="0058552C"/>
    <w:rsid w:val="00602B79"/>
    <w:rsid w:val="00612D33"/>
    <w:rsid w:val="00685357"/>
    <w:rsid w:val="006A308D"/>
    <w:rsid w:val="006B374B"/>
    <w:rsid w:val="006F5125"/>
    <w:rsid w:val="00770C78"/>
    <w:rsid w:val="007D1D23"/>
    <w:rsid w:val="007F340A"/>
    <w:rsid w:val="00837011"/>
    <w:rsid w:val="008B4A59"/>
    <w:rsid w:val="008D0699"/>
    <w:rsid w:val="008D5BC6"/>
    <w:rsid w:val="008F517F"/>
    <w:rsid w:val="009948F7"/>
    <w:rsid w:val="009D2F2A"/>
    <w:rsid w:val="00A14E25"/>
    <w:rsid w:val="00A21C38"/>
    <w:rsid w:val="00A35BD6"/>
    <w:rsid w:val="00A70A59"/>
    <w:rsid w:val="00AC50D8"/>
    <w:rsid w:val="00B40DD9"/>
    <w:rsid w:val="00B76495"/>
    <w:rsid w:val="00B82305"/>
    <w:rsid w:val="00C1088B"/>
    <w:rsid w:val="00C41C13"/>
    <w:rsid w:val="00CF6D49"/>
    <w:rsid w:val="00D109D7"/>
    <w:rsid w:val="00D410E3"/>
    <w:rsid w:val="00D474B2"/>
    <w:rsid w:val="00D82E5C"/>
    <w:rsid w:val="00DC15C8"/>
    <w:rsid w:val="00DD77EC"/>
    <w:rsid w:val="00DF3D2D"/>
    <w:rsid w:val="00DF724C"/>
    <w:rsid w:val="00E02D39"/>
    <w:rsid w:val="00E76A26"/>
    <w:rsid w:val="00EC03B0"/>
    <w:rsid w:val="00F00AF0"/>
    <w:rsid w:val="00F154A5"/>
    <w:rsid w:val="00F44D1F"/>
    <w:rsid w:val="00F528F3"/>
    <w:rsid w:val="00F739F0"/>
    <w:rsid w:val="00F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E340"/>
  <w15:chartTrackingRefBased/>
  <w15:docId w15:val="{72CC1511-BA59-8240-B0BC-263E9A55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AF0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link w:val="10"/>
    <w:uiPriority w:val="9"/>
    <w:qFormat/>
    <w:rsid w:val="00A21C3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4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74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48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A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4A5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8B4A59"/>
    <w:rPr>
      <w:b/>
      <w:bCs/>
    </w:rPr>
  </w:style>
  <w:style w:type="paragraph" w:styleId="a5">
    <w:name w:val="header"/>
    <w:basedOn w:val="a"/>
    <w:link w:val="a6"/>
    <w:uiPriority w:val="99"/>
    <w:unhideWhenUsed/>
    <w:rsid w:val="00685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853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853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8535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21C38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A21C38"/>
    <w:pPr>
      <w:spacing w:before="100" w:beforeAutospacing="1" w:after="100" w:afterAutospacing="1"/>
    </w:pPr>
  </w:style>
  <w:style w:type="character" w:customStyle="1" w:styleId="weui-desktop-operation-groupdefault">
    <w:name w:val="weui-desktop-operation-group_default"/>
    <w:basedOn w:val="a0"/>
    <w:rsid w:val="00A21C38"/>
  </w:style>
  <w:style w:type="character" w:styleId="a9">
    <w:name w:val="Hyperlink"/>
    <w:basedOn w:val="a0"/>
    <w:uiPriority w:val="99"/>
    <w:semiHidden/>
    <w:unhideWhenUsed/>
    <w:rsid w:val="00A21C38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A21C38"/>
    <w:rPr>
      <w:color w:val="800080"/>
      <w:u w:val="single"/>
    </w:rPr>
  </w:style>
  <w:style w:type="paragraph" w:customStyle="1" w:styleId="pagedesc">
    <w:name w:val="page_desc"/>
    <w:basedOn w:val="a"/>
    <w:rsid w:val="00A21C38"/>
    <w:pPr>
      <w:spacing w:before="100" w:beforeAutospacing="1" w:after="100" w:afterAutospacing="1"/>
    </w:pPr>
  </w:style>
  <w:style w:type="character" w:customStyle="1" w:styleId="weui-desktop-popovertarget">
    <w:name w:val="weui-desktop-popover__target"/>
    <w:basedOn w:val="a0"/>
    <w:rsid w:val="00A21C38"/>
  </w:style>
  <w:style w:type="character" w:customStyle="1" w:styleId="character">
    <w:name w:val="character"/>
    <w:basedOn w:val="a0"/>
    <w:rsid w:val="00A21C38"/>
  </w:style>
  <w:style w:type="character" w:customStyle="1" w:styleId="block-br-1741358705407">
    <w:name w:val="block-br-1741358705407"/>
    <w:basedOn w:val="a0"/>
    <w:rsid w:val="00A21C38"/>
  </w:style>
  <w:style w:type="paragraph" w:customStyle="1" w:styleId="jspaypreviewfilter">
    <w:name w:val="js_pay_preview_filter"/>
    <w:basedOn w:val="a"/>
    <w:rsid w:val="00A21C38"/>
    <w:pPr>
      <w:spacing w:before="100" w:beforeAutospacing="1" w:after="100" w:afterAutospacing="1"/>
    </w:pPr>
  </w:style>
  <w:style w:type="character" w:customStyle="1" w:styleId="appmsgmodifycovertext">
    <w:name w:val="appmsg_modify_cover__text"/>
    <w:basedOn w:val="a0"/>
    <w:rsid w:val="00A21C38"/>
  </w:style>
  <w:style w:type="paragraph" w:customStyle="1" w:styleId="appmsgextracttitle">
    <w:name w:val="appmsg_extract_title"/>
    <w:basedOn w:val="a"/>
    <w:rsid w:val="00A21C38"/>
    <w:pPr>
      <w:spacing w:before="100" w:beforeAutospacing="1" w:after="100" w:afterAutospacing="1"/>
    </w:pPr>
  </w:style>
  <w:style w:type="paragraph" w:customStyle="1" w:styleId="appmsgextractdescunmodify">
    <w:name w:val="appmsg_extract_desc_unmodify"/>
    <w:basedOn w:val="a"/>
    <w:rsid w:val="00A21C38"/>
    <w:pPr>
      <w:spacing w:before="100" w:beforeAutospacing="1" w:after="100" w:afterAutospacing="1"/>
    </w:pPr>
  </w:style>
  <w:style w:type="character" w:customStyle="1" w:styleId="shortcut--0ozjh">
    <w:name w:val="shortcut--0ozjh"/>
    <w:basedOn w:val="a0"/>
    <w:rsid w:val="00A21C38"/>
  </w:style>
  <w:style w:type="character" w:customStyle="1" w:styleId="popover-content-wrapper-hjny4r">
    <w:name w:val="popover-content-wrapper-hjny4r"/>
    <w:basedOn w:val="a0"/>
    <w:rsid w:val="00A21C38"/>
  </w:style>
  <w:style w:type="character" w:customStyle="1" w:styleId="base-icon-uvxgpd">
    <w:name w:val="base-icon-uvxgpd"/>
    <w:basedOn w:val="a0"/>
    <w:rsid w:val="00A21C38"/>
  </w:style>
  <w:style w:type="character" w:customStyle="1" w:styleId="key-name-d39hjb">
    <w:name w:val="key-name-d39hjb"/>
    <w:basedOn w:val="a0"/>
    <w:rsid w:val="00A21C38"/>
  </w:style>
  <w:style w:type="character" w:customStyle="1" w:styleId="action-btn-vbt3rg">
    <w:name w:val="action-btn-vbt3rg"/>
    <w:basedOn w:val="a0"/>
    <w:rsid w:val="00A21C38"/>
  </w:style>
  <w:style w:type="character" w:customStyle="1" w:styleId="box-drag-handle">
    <w:name w:val="box-drag-handle"/>
    <w:basedOn w:val="a0"/>
    <w:rsid w:val="00A21C38"/>
  </w:style>
  <w:style w:type="character" w:customStyle="1" w:styleId="label-wrapper-l95vwa">
    <w:name w:val="label-wrapper-l95vwa"/>
    <w:basedOn w:val="a0"/>
    <w:rsid w:val="00A21C38"/>
  </w:style>
  <w:style w:type="character" w:customStyle="1" w:styleId="label-lely67">
    <w:name w:val="label-lely67"/>
    <w:basedOn w:val="a0"/>
    <w:rsid w:val="00A21C38"/>
  </w:style>
  <w:style w:type="character" w:customStyle="1" w:styleId="icon-wrapper-7iahjg">
    <w:name w:val="icon-wrapper-7iahjg"/>
    <w:basedOn w:val="a0"/>
    <w:rsid w:val="00A21C38"/>
  </w:style>
  <w:style w:type="character" w:customStyle="1" w:styleId="to-lang-pjrthi">
    <w:name w:val="to-lang-pjrthi"/>
    <w:basedOn w:val="a0"/>
    <w:rsid w:val="00A21C38"/>
  </w:style>
  <w:style w:type="character" w:customStyle="1" w:styleId="icon-wrapper-qwyhkt">
    <w:name w:val="icon-wrapper-qwyhkt"/>
    <w:basedOn w:val="a0"/>
    <w:rsid w:val="00A21C38"/>
  </w:style>
  <w:style w:type="character" w:customStyle="1" w:styleId="label-l0qbt6">
    <w:name w:val="label-l0qbt6"/>
    <w:basedOn w:val="a0"/>
    <w:rsid w:val="00A21C38"/>
  </w:style>
  <w:style w:type="character" w:customStyle="1" w:styleId="memo-action-icon-wrapper-vyxvgs">
    <w:name w:val="memo-action-icon-wrapper-vyxvgs"/>
    <w:basedOn w:val="a0"/>
    <w:rsid w:val="00A21C38"/>
  </w:style>
  <w:style w:type="character" w:customStyle="1" w:styleId="30">
    <w:name w:val="标题 3 字符"/>
    <w:basedOn w:val="a0"/>
    <w:link w:val="3"/>
    <w:uiPriority w:val="9"/>
    <w:rsid w:val="00D474B2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0A7012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9948F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Revision"/>
    <w:hidden/>
    <w:uiPriority w:val="99"/>
    <w:semiHidden/>
    <w:rsid w:val="004309E0"/>
    <w:rPr>
      <w:rFonts w:ascii="宋体" w:eastAsia="宋体" w:hAnsi="宋体" w:cs="宋体"/>
      <w:kern w:val="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F00AF0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7F340A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7F340A"/>
    <w:pPr>
      <w:keepNext/>
      <w:pBdr>
        <w:bottom w:val="single" w:sz="8" w:space="4" w:color="4472C4" w:themeColor="accent1"/>
      </w:pBdr>
      <w:spacing w:after="80" w:line="276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  <w:lang w:val="zh-CN"/>
    </w:rPr>
  </w:style>
  <w:style w:type="character" w:customStyle="1" w:styleId="ae">
    <w:name w:val="标题 字符"/>
    <w:basedOn w:val="a0"/>
    <w:link w:val="ad"/>
    <w:uiPriority w:val="10"/>
    <w:rsid w:val="007F340A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723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47031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4046">
                                          <w:marLeft w:val="0"/>
                                          <w:marRight w:val="0"/>
                                          <w:marTop w:val="0"/>
                                          <w:marBottom w:val="25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599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6" w:space="30" w:color="EBEBEB"/>
                                              </w:divBdr>
                                              <w:divsChild>
                                                <w:div w:id="17196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3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24" w:color="E4E8EB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97089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145639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2676361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56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865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64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76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8" w:space="8" w:color="DBDBDB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32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01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2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8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312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4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8382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2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51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4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59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46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8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026255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39464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260085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6925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811233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73386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001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96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61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62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4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136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302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334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6028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421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582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2842">
          <w:marLeft w:val="0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24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69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14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1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863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80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63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27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16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4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332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284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3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3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06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82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68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28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17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08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62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3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196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47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52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97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63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77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66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288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009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9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4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999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408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1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26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5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4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8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3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305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5549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4817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124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346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47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9314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405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996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0666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89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937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487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4820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716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5724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401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08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5761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60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006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74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0657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264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2395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6854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188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526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75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43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6172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7215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7821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0581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9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3688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1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20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706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6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407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94799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41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628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79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64273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0181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5703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682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6705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9963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96673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12744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33158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3833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57931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7740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8314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078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473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65680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2352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4334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56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9392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5494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162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956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19589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7150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874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6706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5261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3542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33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9391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621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2276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40503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94392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864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4382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34005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9989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556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2411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73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54374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3089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90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615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539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585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191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29349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69754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1288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74352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5634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4680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2255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852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4316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7908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9114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45125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05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72271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990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796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97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3117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2961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2644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573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130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1687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4885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9709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948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23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3333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8197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8708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90086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0178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6860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8497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7492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3615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192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6195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6082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899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64102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84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75884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6548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38017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7783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64576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7440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2076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67724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80120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214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80338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7607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9330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73358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14215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8929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081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88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6404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1175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093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60425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121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8672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585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5350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24165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050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30473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820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210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6830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72950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1721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74998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37108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7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25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6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130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19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10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52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0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12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8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0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789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49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91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803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5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746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78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9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876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33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36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7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4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69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8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836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763877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5793">
                                          <w:marLeft w:val="0"/>
                                          <w:marRight w:val="0"/>
                                          <w:marTop w:val="0"/>
                                          <w:marBottom w:val="25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27949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6" w:space="30" w:color="EBEBEB"/>
                                              </w:divBdr>
                                              <w:divsChild>
                                                <w:div w:id="33557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906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24" w:color="E4E8EB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7063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456922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58803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776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3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94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36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7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9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86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47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5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197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91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14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86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3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1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6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2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3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75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24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45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74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29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91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1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555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9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65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295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8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91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75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04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647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7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501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12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0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3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08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2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114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49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87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303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1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47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72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9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42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62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44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6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9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2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91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16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2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672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25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30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38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792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09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4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6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0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17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8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50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46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22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0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67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23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09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21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86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69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722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842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85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75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5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8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1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02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41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60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7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3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703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55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82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7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84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47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49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7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90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37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15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9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8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10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041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77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42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17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72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41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13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4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55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43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700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2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05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4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90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2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873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8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48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7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70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71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28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9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7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0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2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6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9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3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3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9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2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5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8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7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7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8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2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7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1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8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9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2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8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8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4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2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3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6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8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1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6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6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4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8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2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7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4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0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0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0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3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4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8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5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7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2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5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3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0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3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5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3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7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9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6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2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3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3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5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0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2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2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3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3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9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2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9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2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9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3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1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6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0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4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2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3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6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7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8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5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5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7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5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4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4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8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8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7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4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2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8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7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4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5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7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3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4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1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5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1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8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4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6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2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2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4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8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5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1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8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7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6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2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9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5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0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7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8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6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5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2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4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8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7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9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4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4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91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7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5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0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3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6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8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6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0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50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7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8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7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9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2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5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2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8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7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6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9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1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5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3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6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2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7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3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20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1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7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5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8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7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8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8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4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9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3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5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1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5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5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4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6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2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7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8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5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9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9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4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5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7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3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4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7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5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3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9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0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5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0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3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5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10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6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2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3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5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1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70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4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50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7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2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0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4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3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1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0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8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2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9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2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1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8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6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6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4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3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3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2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3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6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4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4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2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6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5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8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4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2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8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8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5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3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3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7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6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6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2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5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6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5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70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2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2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3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4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1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2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2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9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4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8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7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2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7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0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0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4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5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4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4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4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1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1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8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4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1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2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8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3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6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3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7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3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1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5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3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8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53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3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3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1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3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8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5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1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9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4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1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9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5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1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4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4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7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6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0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8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8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6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5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1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4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8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3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6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5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9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4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4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1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2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2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8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1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4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9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2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6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4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7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5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3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6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5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8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3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0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3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4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2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1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6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3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74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7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48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926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908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8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03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1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13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79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9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3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75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13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3041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14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84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83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62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10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1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48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8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8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33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21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257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6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32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6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64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24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3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0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5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89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10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1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5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4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8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5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3668FD-A281-0A4C-8305-F41F2988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a3906</dc:creator>
  <cp:keywords/>
  <dc:description/>
  <cp:lastModifiedBy>HB98332@365mak.com</cp:lastModifiedBy>
  <cp:revision>4</cp:revision>
  <cp:lastPrinted>2025-03-22T13:39:00Z</cp:lastPrinted>
  <dcterms:created xsi:type="dcterms:W3CDTF">2026-08-17T07:46:00Z</dcterms:created>
  <dcterms:modified xsi:type="dcterms:W3CDTF">2026-09-22T13:05:00Z</dcterms:modified>
</cp:coreProperties>
</file>