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0B5E9A"/>
          <w:sz w:val="56"/>
        </w:rPr>
        <w:t>OCRA ANALYZER</w:t>
      </w:r>
    </w:p>
    <w:p>
      <w:pPr>
        <w:jc w:val="center"/>
      </w:pPr>
      <w:r>
        <w:rPr>
          <w:b/>
          <w:color w:val="203040"/>
          <w:sz w:val="38"/>
        </w:rPr>
        <w:t>Instrucciones de uso - OCRA · Una tarea</w:t>
      </w:r>
    </w:p>
    <w:p>
      <w:pPr>
        <w:spacing w:before="160"/>
        <w:jc w:val="center"/>
      </w:pPr>
      <w:r>
        <w:rPr>
          <w:color w:val="5C6B78"/>
          <w:sz w:val="23"/>
        </w:rPr>
        <w:t>Guía práctica para preparar la evaluación, registrar los datos y utilizar Kinovea cuando se analicen posturas.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5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B5E9A"/>
              </w:rPr>
              <w:t>¿A quién va dirigida?</w:t>
            </w:r>
          </w:p>
          <w:p>
            <w:pPr>
              <w:spacing w:after="0"/>
            </w:pPr>
            <w:r>
              <w:t>A personal que deba realizar una evaluación OCRA con el programa, aunque no tenga experiencia previa con la aplicación. Para interpretar técnicamente el resultado y decidir medidas preventivas deben aplicarse los criterios profesionales y metodológicos correspondientes.</w:t>
            </w:r>
          </w:p>
        </w:tc>
      </w:tr>
    </w:tbl>
    <w:p>
      <w:pPr>
        <w:spacing w:after="0"/>
      </w:pPr>
    </w:p>
    <w:p>
      <w:pPr>
        <w:jc w:val="center"/>
      </w:pPr>
      <w:r>
        <w:t>Versión editable. Documento maestro en Word para futuras actualizaciones.</w:t>
      </w:r>
    </w:p>
    <w:p>
      <w:r>
        <w:br w:type="page"/>
      </w:r>
    </w:p>
    <w:p>
      <w:pPr>
        <w:pStyle w:val="Heading1"/>
        <w:spacing w:before="200" w:after="120"/>
      </w:pPr>
      <w:r>
        <w:t>1. Antes de empezar</w:t>
      </w:r>
    </w:p>
    <w:p>
      <w:r>
        <w:t>Prepare la información del turno y observe la tarea antes de abrir el programa. La evaluación se realiza para una tarea repetitiva concreta y para cada extremidad superior (derecha e izquierda).</w:t>
      </w:r>
    </w:p>
    <w:p>
      <w:pPr>
        <w:pStyle w:val="ListBullet"/>
        <w:spacing w:after="60"/>
      </w:pPr>
      <w:r>
        <w:t>Duración oficial del turno y tiempo efectivo en el puesto.</w:t>
      </w:r>
    </w:p>
    <w:p>
      <w:pPr>
        <w:pStyle w:val="ListBullet"/>
        <w:spacing w:after="60"/>
      </w:pPr>
      <w:r>
        <w:t>Horario de inicio y finalización.</w:t>
      </w:r>
    </w:p>
    <w:p>
      <w:pPr>
        <w:pStyle w:val="ListBullet"/>
        <w:spacing w:after="60"/>
      </w:pPr>
      <w:r>
        <w:t>Pausas habituales de al menos 8 minutos y pausa de comida, si existe.</w:t>
      </w:r>
    </w:p>
    <w:p>
      <w:pPr>
        <w:pStyle w:val="ListBullet"/>
        <w:spacing w:after="60"/>
      </w:pPr>
      <w:r>
        <w:t>Tiempo dedicado a trabajo no repetitivo.</w:t>
      </w:r>
    </w:p>
    <w:p>
      <w:pPr>
        <w:pStyle w:val="ListBullet"/>
        <w:spacing w:after="60"/>
      </w:pPr>
      <w:r>
        <w:t>Un ciclo de trabajo representativo y su duración.</w:t>
      </w:r>
    </w:p>
    <w:p>
      <w:pPr>
        <w:pStyle w:val="ListBullet"/>
        <w:spacing w:after="60"/>
      </w:pPr>
      <w:r>
        <w:t>Número de acciones técnicas realizadas por la mano derecha y por la izquierda durante ese ciclo.</w:t>
      </w:r>
    </w:p>
    <w:p>
      <w:pPr>
        <w:pStyle w:val="ListBullet"/>
        <w:spacing w:after="60"/>
      </w:pPr>
      <w:r>
        <w:t>Fuerzas realizadas y su intensidad aproximada en escala de Borg CR-10.</w:t>
      </w:r>
    </w:p>
    <w:p>
      <w:pPr>
        <w:pStyle w:val="ListBullet"/>
        <w:spacing w:after="60"/>
      </w:pPr>
      <w:r>
        <w:t>Posturas de hombro, codo, muñeca y mano-dedo.</w:t>
      </w:r>
    </w:p>
    <w:p>
      <w:pPr>
        <w:pStyle w:val="ListBullet"/>
        <w:spacing w:after="60"/>
      </w:pPr>
      <w:r>
        <w:t>Factores complementarios y características de la repetición (estereotipia).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5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B5E9A"/>
              </w:rPr>
              <w:t>Importante</w:t>
            </w:r>
          </w:p>
          <w:p>
            <w:pPr>
              <w:spacing w:after="0"/>
            </w:pPr>
            <w:r>
              <w:t>El programa calcula una tarea. Si la persona rota entre varias tareas, utilice la modalidad de rotación que corresponda cuando esté disponible; no mezcle varias tareas distintas dentro de una única evaluación de “Una tarea”.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t>2. Recorrido general por el programa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3024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se completa</w:t>
            </w:r>
          </w:p>
        </w:tc>
        <w:tc>
          <w:tcPr>
            <w:tcW w:type="dxa" w:w="5616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debe hacer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Identificación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Empresa, puesto, tarea y descripción breve.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2-3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Organización y TNTR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Introduzca los tiempos del turno. El programa calcula el tiempo neto de trabajo repetitivo.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Ciclos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Indique la duración del ciclo observado y los ciclos realizados.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5-6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Recuperación y duración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Registre pausas/comida y revise los multiplicadores calculados.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Acciones técnicas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Cuente las acciones por ciclo de cada extremidad.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Fuerza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Indique cuánto tiempo del ciclo se trabaja con cada nivel Borg.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9-13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Posturas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Introduzca los datos manualmente o utilice JSON exportados desde Kinovea.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14-15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Mano-dedo y estereotipia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Complete agarres, uso de un solo dedo y repetición.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Factor complementario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Factores físico-mecánicos y socio-organizativos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Seleccione la condición que corresponda.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Resultado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Índice OCRA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Revise resultados por extremidad y clasificación final.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t>3. Organización del trabajo, pausas y TNTR</w:t>
      </w:r>
    </w:p>
    <w:p>
      <w:r>
        <w:t>Introduzca los tiempos de la jornada real que se está evaluando. El programa utiliza estos datos para calcular el tiempo neto de trabajo repetitivo y los multiplicadores de recuperación y duración.</w:t>
      </w:r>
    </w:p>
    <w:p>
      <w:pPr>
        <w:pStyle w:val="ListBullet"/>
        <w:spacing w:after="60"/>
      </w:pPr>
      <w:r>
        <w:t>Una pausa se considera válida para recuperación cuando dura 8 minutos o más.</w:t>
      </w:r>
    </w:p>
    <w:p>
      <w:pPr>
        <w:pStyle w:val="ListBullet"/>
        <w:spacing w:after="60"/>
      </w:pPr>
      <w:r>
        <w:t>Una pausa de comida se considera como tal cuando dura al menos 30 minutos.</w:t>
      </w:r>
    </w:p>
    <w:p>
      <w:pPr>
        <w:pStyle w:val="ListBullet"/>
        <w:spacing w:after="60"/>
      </w:pPr>
      <w:r>
        <w:t>Describa las pausas habituales y su horario real. Las pausas ocasionales no deben introducirse como si se realizaran todos los días.</w:t>
      </w:r>
    </w:p>
    <w:p>
      <w:pPr>
        <w:pStyle w:val="ListBullet"/>
        <w:spacing w:after="60"/>
      </w:pPr>
      <w:r>
        <w:t>Si existe trabajo no repetitivo durante el turno, indíquelo en el campo correspondiente para no contabilizarlo como exposición repetitiva.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B5E9A"/>
              </w:rPr>
              <w:t>Consejo</w:t>
            </w:r>
          </w:p>
          <w:p>
            <w:pPr>
              <w:spacing w:after="0"/>
            </w:pPr>
            <w:r>
              <w:t>Si el horario real no coincide con el teórico, utilice el horario que represente la jornada habitual que se desea evaluar.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t>4. Cómo observar un ciclo y contar acciones técnicas</w:t>
      </w:r>
    </w:p>
    <w:p>
      <w:r>
        <w:t>Seleccione un ciclo representativo de la tarea. El ciclo comienza cuando la unidad o pieza llega a un estado definido y termina cuando la siguiente unidad llega al mismo estado. Cuente por separado las acciones técnicas realizadas por la extremidad derecha y por la izquierda.</w:t>
      </w:r>
    </w:p>
    <w:p>
      <w:pPr>
        <w:pStyle w:val="ListBullet"/>
        <w:spacing w:after="60"/>
      </w:pPr>
      <w:r>
        <w:t>Coger o tomar un objeto.</w:t>
      </w:r>
    </w:p>
    <w:p>
      <w:pPr>
        <w:pStyle w:val="ListBullet"/>
        <w:spacing w:after="60"/>
      </w:pPr>
      <w:r>
        <w:t>Posicionar o colocar.</w:t>
      </w:r>
    </w:p>
    <w:p>
      <w:pPr>
        <w:pStyle w:val="ListBullet"/>
        <w:spacing w:after="60"/>
      </w:pPr>
      <w:r>
        <w:t>Mover o transportar con la mano.</w:t>
      </w:r>
    </w:p>
    <w:p>
      <w:pPr>
        <w:pStyle w:val="ListBullet"/>
        <w:spacing w:after="60"/>
      </w:pPr>
      <w:r>
        <w:t>Empujar o tirar.</w:t>
      </w:r>
    </w:p>
    <w:p>
      <w:pPr>
        <w:pStyle w:val="ListBullet"/>
        <w:spacing w:after="60"/>
      </w:pPr>
      <w:r>
        <w:t>Girar, accionar, presionar o manipular cuando constituya una acción técnica diferenciada.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B5E9A"/>
              </w:rPr>
              <w:t>No cuente movimientos articulares aislados</w:t>
            </w:r>
          </w:p>
          <w:p>
            <w:pPr>
              <w:spacing w:after="0"/>
            </w:pPr>
            <w:r>
              <w:t>Una acción técnica no equivale a cada movimiento de hombro, codo o muñeca. Se cuenta la acción funcional necesaria para realizar la operación.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t>5. Fuerza - escala Borg CR-10</w:t>
      </w:r>
    </w:p>
    <w:p>
      <w:r>
        <w:t>En la pantalla de fuerza indique cuántos segundos del ciclo se trabaja en cada franja de esfuerzo. La valoración debe representar el esfuerzo realmente realizado, no solo el peso del objeto.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584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Borg</w:t>
            </w:r>
          </w:p>
        </w:tc>
        <w:tc>
          <w:tcPr>
            <w:tcW w:type="dxa" w:w="8352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Referencia sencilla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0-2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Sin esfuerzo o esfuerzo ligero.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3-4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Esfuerzo moderado a algo duro.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5-7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Esfuerzo duro a muy duro.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8-10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Esfuerzo extremadamente duro o máximo.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00" w:after="120"/>
      </w:pPr>
      <w:r>
        <w:t>6. Posturas: entrada manual o Kinovea</w:t>
      </w:r>
    </w:p>
    <w:p>
      <w:r>
        <w:t>En la pantalla “Vídeo y seguimiento Kinovea” seleccione la fuente principal de las posturas: Manual o Kinovea (JSON). Si utiliza Kinovea y falta algún marcador, el programa permite completar manualmente el lado o la postura que no pueda calcularse.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5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B5E9A"/>
              </w:rPr>
              <w:t>Regla práctica</w:t>
            </w:r>
          </w:p>
          <w:p>
            <w:pPr>
              <w:spacing w:after="0"/>
            </w:pPr>
            <w:r>
              <w:t>Utilice Kinovea únicamente cuando los puntos anatómicos sean visibles y el tracking sea fiable. Si hay ocultaciones o saltos del marcador que no pueda corregir, use introducción manual para esa postura o ese lado.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t>7. Qué vídeos necesita para OCRA</w:t>
      </w:r>
    </w:p>
    <w:p>
      <w:r>
        <w:t>Los vídeos no tienen que ser simultáneos. Puede grabarlos uno después de otro. Cada vídeo se carga y se analiza de forma independiente.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Vista</w:t>
            </w:r>
          </w:p>
        </w:tc>
        <w:tc>
          <w:tcPr>
            <w:tcW w:type="dxa" w:w="4392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puede aportar</w:t>
            </w:r>
          </w:p>
        </w:tc>
        <w:tc>
          <w:tcPr>
            <w:tcW w:type="dxa" w:w="4320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Marcadores recomendados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Perfil derecho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Hombro derecho: flexión/extensión. Codo derecho: flexión/extensión. Muñeca derecha: flexión/extensión.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Cadera D, hombro D, codo D, muñeca D, índice D.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Perfil izquierdo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Hombro izquierdo: flexión/extensión. Codo izquierdo: flexión/extensión. Muñeca izquierda: flexión/extensión.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Cadera I, hombro I, codo I, muñeca I, índice I.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Hombro: abducción. Muñeca: desviación radial/cubital.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Para el lado analizado: cadera, hombro, codo, muñeca e índice. Puede colocar ambos lados si son visibles.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3/4 derecha o izquierda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Vista complementaria cuando el perfil o frontal no permiten ver bien la articulación.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Los mismos puntos del lado que se desea estudiar.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5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B5E9A"/>
              </w:rPr>
              <w:t>Vídeos mínimos recomendados</w:t>
            </w:r>
          </w:p>
          <w:p>
            <w:pPr>
              <w:spacing w:after="0"/>
            </w:pPr>
            <w:r>
              <w:t>Para estudiar de forma completa ambos miembros superiores mediante Kinovea, prepare al menos un perfil derecho, un perfil izquierdo y una vista frontal. Si solo se evalúa un lado o alguna postura se introduce manualmente, puede necesitar menos vídeos.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t>8. Puntos anatómicos que debe marcar</w:t>
      </w:r>
    </w:p>
    <w:p>
      <w:r>
        <w:t>Coloque cada marcador sobre una referencia anatómica estable y manténgalo en el mismo punto durante todo el tracking. Evite colocar el punto simplemente en el centro de una masa muscular.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Punto</w:t>
            </w:r>
          </w:p>
        </w:tc>
        <w:tc>
          <w:tcPr>
            <w:tcW w:type="dxa" w:w="5256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Dónde colocarlo</w:t>
            </w:r>
          </w:p>
        </w:tc>
        <w:tc>
          <w:tcPr>
            <w:tcW w:type="dxa" w:w="3312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Evitar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Cadera derecha / izquierda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Zona lateral de la cadera, aproximadamente sobre la referencia ósea más saliente y estable.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Evitar cintura, abdomen o centro del muslo.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Hombro derecho / izquierdo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Punta del hombro, próxima al acromion, donde termina el hombro y comienza el brazo.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Evitar cuello o centro de la masa del deltoides.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Codo derecho / izquierdo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Referencia ósea visible en la zona lateral del codo.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Evitar centro del brazo o antebrazo.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Muñeca derecha / izquierda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Referencia ósea visible a nivel de la muñeca, manteniendo el mismo criterio durante todo el vídeo.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Evitar palma o centro cambiante de la muñeca.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Índice derecho / izquierdo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Punto claramente visible del dedo índice que acompañe el eje de la mano.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Evitar otro dedo o una zona que quede oculta de forma habitual.</w:t>
            </w:r>
          </w:p>
        </w:tc>
      </w:tr>
    </w:tbl>
    <w:p>
      <w:pPr>
        <w:spacing w:after="0"/>
      </w:pPr>
    </w:p>
    <w:p>
      <w:r>
        <w:t>Las siguientes imágenes, tomadas de la guía de Kinovea aportada como referencia, sirven para localizar visualmente los puntos principales. Para OCRA solo son necesarios los puntos de miembro superior y cadera indicados en la tabla anterior.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31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ta_front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31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Vista frontal: referencias anatómicas principales.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058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ta_latera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5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Vista lateral: referencias para hombro, codo, muñeca y cadera.</w:t>
      </w:r>
    </w:p>
    <w:p>
      <w:pPr>
        <w:pStyle w:val="Heading1"/>
        <w:spacing w:before="200" w:after="120"/>
      </w:pPr>
      <w:r>
        <w:t>9. Preparación de la grabación</w:t>
      </w:r>
    </w:p>
    <w:p>
      <w:pPr>
        <w:pStyle w:val="ListBullet"/>
        <w:spacing w:after="60"/>
      </w:pPr>
      <w:r>
        <w:t>Coloque la cámara lo más perpendicular posible al plano que desea estudiar (perfil o frontal).</w:t>
      </w:r>
    </w:p>
    <w:p>
      <w:pPr>
        <w:pStyle w:val="ListBullet"/>
        <w:spacing w:after="60"/>
      </w:pPr>
      <w:r>
        <w:t>Procure que el miembro superior completo permanezca dentro de la imagen durante el tramo analizado.</w:t>
      </w:r>
    </w:p>
    <w:p>
      <w:pPr>
        <w:pStyle w:val="ListBullet"/>
        <w:spacing w:after="60"/>
      </w:pPr>
      <w:r>
        <w:t>Evite que herramientas, piezas, otras personas o la ropa oculten hombro, codo, muñeca o índice.</w:t>
      </w:r>
    </w:p>
    <w:p>
      <w:pPr>
        <w:pStyle w:val="ListBullet"/>
        <w:spacing w:after="60"/>
      </w:pPr>
      <w:r>
        <w:t>Use una resolución suficiente para poder seguir los marcadores fotograma a fotograma.</w:t>
      </w:r>
    </w:p>
    <w:p>
      <w:pPr>
        <w:pStyle w:val="ListBullet"/>
        <w:spacing w:after="60"/>
      </w:pPr>
      <w:r>
        <w:t>Si la ropa o el fondo dificultan la identificación, coloque pegatinas de color visible sobre los puntos anatómicos.</w:t>
      </w:r>
    </w:p>
    <w:p>
      <w:pPr>
        <w:pStyle w:val="ListBullet"/>
        <w:spacing w:after="60"/>
      </w:pPr>
      <w:r>
        <w:t>Grabe varios ciclos representativos y evite cambiar la posición de la cámara durante el vídeo.</w:t>
      </w:r>
    </w:p>
    <w:p>
      <w:pPr>
        <w:pStyle w:val="Heading1"/>
        <w:spacing w:before="200" w:after="120"/>
      </w:pPr>
      <w:r>
        <w:t>10. Tracking en Kinovea</w:t>
      </w:r>
    </w:p>
    <w:p>
      <w:r>
        <w:t>Abra cada vídeo en Kinovea y cree un marcador para cada punto anatómico necesario. El nombre que exporte Kinovea no tiene que coincidir con el nombre anatómico: después, en el programa, asignará cada marcador a la parte del cuerpo correspondiente.</w:t>
      </w:r>
    </w:p>
    <w:p>
      <w:pPr>
        <w:pStyle w:val="ListBullet"/>
        <w:spacing w:after="60"/>
      </w:pPr>
      <w:r>
        <w:t>Coloque el marcador exactamente sobre el punto anatómico elegido.</w:t>
      </w:r>
    </w:p>
    <w:p>
      <w:pPr>
        <w:pStyle w:val="ListBullet"/>
        <w:spacing w:after="60"/>
      </w:pPr>
      <w:r>
        <w:t>Inicie el seguimiento automático o manual y revise el vídeo completo.</w:t>
      </w:r>
    </w:p>
    <w:p>
      <w:pPr>
        <w:pStyle w:val="ListBullet"/>
        <w:spacing w:after="60"/>
      </w:pPr>
      <w:r>
        <w:t>Si el marcador “salta” a otra zona, pause y reubíquelo en el punto correcto antes de continuar.</w:t>
      </w:r>
    </w:p>
    <w:p>
      <w:pPr>
        <w:pStyle w:val="ListBullet"/>
        <w:spacing w:after="60"/>
      </w:pPr>
      <w:r>
        <w:t>Mantenga una nota sencilla de correspondencia, por ejemplo: Marcador 1 = hombro derecho; Marcador 2 = codo derecho.</w:t>
      </w:r>
    </w:p>
    <w:p>
      <w:pPr>
        <w:pStyle w:val="ListBullet"/>
        <w:spacing w:after="60"/>
      </w:pPr>
      <w:r>
        <w:t>Cuando el tracking esté revisado, exporte el archivo JSON correspondiente al vídeo.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45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ovea_colocacion_marcadores_limp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45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Ejemplo de colocación de marcadores sobre referencias anatómicas visibles.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24794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ovea_menu_etiqueta_limp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7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Ejemplo del menú de Kinovea para asignar o revisar la etiqueta de un marcador.</w:t>
      </w:r>
    </w:p>
    <w:p>
      <w:pPr>
        <w:pStyle w:val="Heading1"/>
        <w:spacing w:before="200" w:after="120"/>
      </w:pPr>
      <w:r>
        <w:t>11. Cargar los JSON en OCRA Analyzer</w:t>
      </w:r>
    </w:p>
    <w:p>
      <w:pPr>
        <w:pStyle w:val="ListBullet"/>
        <w:spacing w:after="60"/>
      </w:pPr>
      <w:r>
        <w:t>Seleccione “Kinovea (JSON)” como fuente principal de posturas.</w:t>
      </w:r>
    </w:p>
    <w:p>
      <w:pPr>
        <w:pStyle w:val="ListBullet"/>
        <w:spacing w:after="60"/>
      </w:pPr>
      <w:r>
        <w:t>Cargue el JSON del primer vídeo. Para añadir más, pulse “Añadir otro JSON”.</w:t>
      </w:r>
    </w:p>
    <w:p>
      <w:pPr>
        <w:pStyle w:val="ListBullet"/>
        <w:spacing w:after="60"/>
      </w:pPr>
      <w:r>
        <w:t>Para cada JSON seleccione la vista correcta: lateral derecho, lateral izquierdo, frontal o 3/4.</w:t>
      </w:r>
    </w:p>
    <w:p>
      <w:pPr>
        <w:pStyle w:val="ListBullet"/>
        <w:spacing w:after="60"/>
      </w:pPr>
      <w:r>
        <w:t>Opcionalmente indique la tarea o fase observada.</w:t>
      </w:r>
    </w:p>
    <w:p>
      <w:pPr>
        <w:pStyle w:val="ListBullet"/>
        <w:spacing w:after="60"/>
      </w:pPr>
      <w:r>
        <w:t>Seleccione el periodo de análisis: todo el vídeo, un intervalo concreto o número de ciclos visibles.</w:t>
      </w:r>
    </w:p>
    <w:p>
      <w:pPr>
        <w:pStyle w:val="ListBullet"/>
        <w:spacing w:after="60"/>
      </w:pPr>
      <w:r>
        <w:t>Asigne cada marcador del JSON al punto anatómico correspondiente.</w:t>
      </w:r>
    </w:p>
    <w:p>
      <w:pPr>
        <w:pStyle w:val="ListBullet"/>
        <w:spacing w:after="60"/>
      </w:pPr>
      <w:r>
        <w:t>No asigne un mismo marcador a dos puntos anatómicos distintos dentro del mismo JSON.</w:t>
      </w:r>
    </w:p>
    <w:p>
      <w:pPr>
        <w:pStyle w:val="ListBullet"/>
        <w:spacing w:after="60"/>
      </w:pPr>
      <w:r>
        <w:t>Repita el proceso para cada vídeo.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5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B5E9A"/>
              </w:rPr>
              <w:t>Muy importante</w:t>
            </w:r>
          </w:p>
          <w:p>
            <w:pPr>
              <w:spacing w:after="0"/>
            </w:pPr>
            <w:r>
              <w:t>Cada JSON/vídeo es una muestra independiente. No se suman los segundos de vídeos diferentes. Cuando hay varias muestras válidas para la misma articulación y lado, el programa utiliza la exposición porcentual más desfavorable.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t>12. Marcadores mínimos por articulación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Articulación</w:t>
            </w:r>
          </w:p>
        </w:tc>
        <w:tc>
          <w:tcPr>
            <w:tcW w:type="dxa" w:w="4320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Lado derecho</w:t>
            </w:r>
          </w:p>
        </w:tc>
        <w:tc>
          <w:tcPr>
            <w:tcW w:type="dxa" w:w="4320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Lado izquierdo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Hombro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Cadera D + Hombro D + Codo 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Cadera I + Hombro I + Codo I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Codo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Hombro D + Codo D + Muñeca 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Hombro I + Codo I + Muñeca I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Muñeca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Codo D + Muñeca D + Índice 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Codo I + Muñeca I + Índice 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B5E9A"/>
              </w:rPr>
              <w:t>Si falta un marcador</w:t>
            </w:r>
          </w:p>
          <w:p>
            <w:pPr>
              <w:spacing w:after="0"/>
            </w:pPr>
            <w:r>
              <w:t>El programa no debe completar un punto anatómico con otro “parecido”. Corrija el tracking o utilice introducción manual para esa postura/lado.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t>13. Mano-dedo, estereotipia y factores complementarios</w:t>
      </w:r>
    </w:p>
    <w:p>
      <w:r>
        <w:t>Estas partes se completan manualmente, incluso cuando se hayan utilizado vídeos de Kinovea para hombro, codo o muñeca.</w:t>
      </w:r>
    </w:p>
    <w:p>
      <w:pPr>
        <w:pStyle w:val="ListBullet"/>
        <w:spacing w:after="60"/>
      </w:pPr>
      <w:r>
        <w:t>Mano-dedo: seleccione el tipo de agarre y el tiempo o porcentaje de exposición. El agarre de potencia (grip) no puntúa como agarre forzado en ese bloque.</w:t>
      </w:r>
    </w:p>
    <w:p>
      <w:pPr>
        <w:pStyle w:val="ListBullet"/>
        <w:spacing w:after="60"/>
      </w:pPr>
      <w:r>
        <w:t>Uso de un solo dedo: introdúzcalo por separado, con o sin agarre de potencia.</w:t>
      </w:r>
    </w:p>
    <w:p>
      <w:pPr>
        <w:pStyle w:val="ListBullet"/>
        <w:spacing w:after="60"/>
      </w:pPr>
      <w:r>
        <w:t>Estereotipia: seleccione la condición de tiempo de ciclo o repetición que corresponda.</w:t>
      </w:r>
    </w:p>
    <w:p>
      <w:pPr>
        <w:pStyle w:val="ListBullet"/>
        <w:spacing w:after="60"/>
      </w:pPr>
      <w:r>
        <w:t>Factores complementarios: seleccione una sola respuesta por grupo conforme a la condición observada.</w:t>
      </w:r>
    </w:p>
    <w:p>
      <w:pPr>
        <w:pStyle w:val="Heading1"/>
        <w:spacing w:before="200" w:after="120"/>
      </w:pPr>
      <w:r>
        <w:t>14. Guardar, cargar y revisar el estudio</w:t>
      </w:r>
    </w:p>
    <w:p>
      <w:pPr>
        <w:pStyle w:val="ListBullet"/>
        <w:spacing w:after="60"/>
      </w:pPr>
      <w:r>
        <w:t>Use “Guardar estudio” para conservar los datos en un archivo JSON del estudio.</w:t>
      </w:r>
    </w:p>
    <w:p>
      <w:pPr>
        <w:pStyle w:val="ListBullet"/>
        <w:spacing w:after="60"/>
      </w:pPr>
      <w:r>
        <w:t>Use “Cargar estudio” para continuar una evaluación previamente guardada.</w:t>
      </w:r>
    </w:p>
    <w:p>
      <w:pPr>
        <w:pStyle w:val="ListBullet"/>
        <w:spacing w:after="60"/>
      </w:pPr>
      <w:r>
        <w:t>Antes de cerrar o volver al inicio, guarde el estudio si desea conservar los cambios.</w:t>
      </w:r>
    </w:p>
    <w:p>
      <w:pPr>
        <w:pStyle w:val="ListBullet"/>
        <w:spacing w:after="60"/>
      </w:pPr>
      <w:r>
        <w:t>Revise el resultado de derecha (DX) e izquierda (IX) por separado.</w:t>
      </w:r>
    </w:p>
    <w:p>
      <w:pPr>
        <w:pStyle w:val="ListBullet"/>
        <w:spacing w:after="60"/>
      </w:pPr>
      <w:r>
        <w:t>Utilice “Tablas para Word” para copiar los resultados destinados al informe.</w:t>
      </w:r>
    </w:p>
    <w:p>
      <w:pPr>
        <w:pStyle w:val="Heading1"/>
        <w:spacing w:before="200" w:after="120"/>
      </w:pPr>
      <w:r>
        <w:t>15. Comprobación final</w:t>
      </w:r>
    </w:p>
    <w:p>
      <w:pPr>
        <w:pStyle w:val="ListBullet"/>
        <w:spacing w:after="60"/>
      </w:pPr>
      <w:r>
        <w:t>☐ La tarea evaluada está claramente definida y no mezcla tareas diferentes.</w:t>
      </w:r>
    </w:p>
    <w:p>
      <w:pPr>
        <w:pStyle w:val="ListBullet"/>
        <w:spacing w:after="60"/>
      </w:pPr>
      <w:r>
        <w:t>☐ Los horarios y pausas corresponden a una jornada habitual.</w:t>
      </w:r>
    </w:p>
    <w:p>
      <w:pPr>
        <w:pStyle w:val="ListBullet"/>
        <w:spacing w:after="60"/>
      </w:pPr>
      <w:r>
        <w:t>☐ El ciclo observado es representativo.</w:t>
      </w:r>
    </w:p>
    <w:p>
      <w:pPr>
        <w:pStyle w:val="ListBullet"/>
        <w:spacing w:after="60"/>
      </w:pPr>
      <w:r>
        <w:t>☐ Las acciones técnicas se han contado por separado para derecha e izquierda.</w:t>
      </w:r>
    </w:p>
    <w:p>
      <w:pPr>
        <w:pStyle w:val="ListBullet"/>
        <w:spacing w:after="60"/>
      </w:pPr>
      <w:r>
        <w:t>☐ La fuerza Borg y su duración corresponden al ciclo real.</w:t>
      </w:r>
    </w:p>
    <w:p>
      <w:pPr>
        <w:pStyle w:val="ListBullet"/>
        <w:spacing w:after="60"/>
      </w:pPr>
      <w:r>
        <w:t>☐ Si se usa Kinovea, cada JSON corresponde al vídeo correcto.</w:t>
      </w:r>
    </w:p>
    <w:p>
      <w:pPr>
        <w:pStyle w:val="ListBullet"/>
        <w:spacing w:after="60"/>
      </w:pPr>
      <w:r>
        <w:t>☐ La vista de cada vídeo está bien seleccionada.</w:t>
      </w:r>
    </w:p>
    <w:p>
      <w:pPr>
        <w:pStyle w:val="ListBullet"/>
        <w:spacing w:after="60"/>
      </w:pPr>
      <w:r>
        <w:t>☐ Los marcadores están correctamente asignados y el tracking se ha revisado.</w:t>
      </w:r>
    </w:p>
    <w:p>
      <w:pPr>
        <w:pStyle w:val="ListBullet"/>
        <w:spacing w:after="60"/>
      </w:pPr>
      <w:r>
        <w:t>☐ No se han intercambiado derecha e izquierda.</w:t>
      </w:r>
    </w:p>
    <w:p>
      <w:pPr>
        <w:pStyle w:val="ListBullet"/>
        <w:spacing w:after="60"/>
      </w:pPr>
      <w:r>
        <w:t>☐ Mano-dedo, estereotipia y factores complementarios están completos.</w:t>
      </w:r>
    </w:p>
    <w:p>
      <w:pPr>
        <w:pStyle w:val="ListBullet"/>
        <w:spacing w:after="60"/>
      </w:pPr>
      <w:r>
        <w:t>☐ El estudio se ha guardado antes de cerrar.</w:t>
      </w:r>
    </w:p>
    <w:p>
      <w:pPr>
        <w:pStyle w:val="Heading1"/>
        <w:spacing w:before="200" w:after="120"/>
      </w:pPr>
      <w:r>
        <w:t>16. Errores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72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6840"/>
            <w:shd w:fill="0B5E9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marcador salta a otra zona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Corregir el tracking en Kinovea y volver a exportar el JSON.</w:t>
            </w:r>
          </w:p>
        </w:tc>
      </w:tr>
      <w:tr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Derecha e izquierda están intercambiadas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Revisar la vista seleccionada y la asignación de marcadores.</w:t>
            </w:r>
          </w:p>
        </w:tc>
      </w:tr>
      <w:tr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Falta un punto anatómico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sustituirlo por otro. Corregir el vídeo/tracking o usar entrada manual.</w:t>
            </w:r>
          </w:p>
        </w:tc>
      </w:tr>
      <w:tr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vídeo no muestra bien una articulación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Utilizar otra vista o introducir manualmente esa postura.</w:t>
            </w:r>
          </w:p>
        </w:tc>
      </w:tr>
      <w:tr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 han cargado varios vídeos y los tiempos son diferentes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 correcto: cada vídeo se analiza de forma independiente.</w:t>
            </w:r>
          </w:p>
        </w:tc>
      </w:tr>
      <w:tr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 ha evaluado más de una tarea dentro del mismo estudio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Separar las tareas y utilizar la modalidad OCRA correspondiente a la organización real del trabajo.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i/>
          <w:color w:val="5C6B78"/>
        </w:rPr>
        <w:t>Documento de instrucciones de uso - OCRA · Una tarea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3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5E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5E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03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5E9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