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color w:val="0F172A"/>
          <w:sz w:val="32"/>
          <w:szCs w:val="32"/>
        </w:rPr>
        <w:t xml:space="preserve">LEGALES DEL SITIO, POLÍTICAS Y HABEAS DATA</w:t>
      </w:r>
    </w:p>
    <w:p>
      <w:pPr>
        <w:spacing w:after="100"/>
      </w:pPr>
      <w:r>
        <w:rPr>
          <w:color w:val="475569"/>
          <w:sz w:val="18"/>
          <w:szCs w:val="18"/>
        </w:rPr>
        <w:t xml:space="preserve">Plataforma ArriendoSeguro (un producto de LOTIC) · Contenido publicado en el footer · Versión final para revisión jurídica · 11 de agosto de 2026</w:t>
      </w:r>
    </w:p>
    <w:p>
      <w:pPr>
        <w:pBdr>
          <w:left w:val="single" w:color="5B21B6" w:sz="18" w:space="6"/>
        </w:pBdr>
        <w:shd w:fill="F5F3FF" w:color="auto" w:val="clear"/>
        <w:spacing w:after="120"/>
      </w:pPr>
      <w:r>
        <w:rPr>
          <w:i/>
          <w:iCs/>
          <w:color w:val="475569"/>
          <w:sz w:val="19"/>
          <w:szCs w:val="19"/>
        </w:rPr>
        <w:t xml:space="preserve">Este documento reúne, tal como quedan publicados, todos los textos legales enlazados desde el pie de página del sitio, más el texto de consentimiento de registro. Ya se hizo una validación técnica: los 14 enlaces del footer funcionan (ninguno roto), se unificó a LOTIC como responsable/operador y el canal de habeas data contacto@arriendoseguro.app, y se retiraron las expresiones «fase inicial / en validación / se publicará cuando esté consolidado para producción». Al final se listan los puntos que conviene que el abogado confirme.</w:t>
      </w:r>
    </w:p>
    <w:p>
      <w:pPr>
        <w:pStyle w:val="Heading2"/>
        <w:spacing w:before="200" w:after="90"/>
      </w:pPr>
      <w:r>
        <w:rPr>
          <w:b/>
          <w:bCs/>
          <w:color w:val="5B21B6"/>
          <w:sz w:val="24"/>
          <w:szCs w:val="24"/>
        </w:rPr>
        <w:t xml:space="preserve">Índice de enlaces del pie de página</w:t>
      </w:r>
    </w:p>
    <w:p>
      <w:pPr>
        <w:pStyle w:val="ListParagraph"/>
        <w:numPr>
          <w:ilvl w:val="0"/>
          <w:numId w:val="2"/>
        </w:numPr>
        <w:spacing w:after="50"/>
      </w:pPr>
      <w:r>
        <w:rPr>
          <w:b w:val="false"/>
          <w:bCs w:val="false"/>
        </w:rPr>
        <w:t xml:space="preserve">Acerca de · Contacto · Calculadoras · Consulta legal (IA) · Reportar un problema · Estado del servicio · Blog</w:t>
      </w:r>
    </w:p>
    <w:p>
      <w:pPr>
        <w:pStyle w:val="ListParagraph"/>
        <w:numPr>
          <w:ilvl w:val="0"/>
          <w:numId w:val="2"/>
        </w:numPr>
        <w:spacing w:after="50"/>
      </w:pPr>
      <w:r>
        <w:rPr>
          <w:b w:val="false"/>
          <w:bCs w:val="false"/>
        </w:rPr>
        <w:t xml:space="preserve">Términos · Tratamiento de datos · Aviso de privacidad · Cookies · Firma electrónica · Demo · Política de evaluación de reputación</w:t>
      </w:r>
    </w:p>
    <w:p>
      <w:pPr>
        <w:pStyle w:val="ListParagraph"/>
        <w:numPr>
          <w:ilvl w:val="0"/>
          <w:numId w:val="2"/>
        </w:numPr>
        <w:spacing w:after="50"/>
      </w:pPr>
      <w:r>
        <w:rPr>
          <w:b w:val="false"/>
          <w:bCs w:val="false"/>
        </w:rPr>
        <w:t xml:space="preserve">Botón «Preferencias de cookies» (gestiona el consentimiento) · Sello «Un producto de LOTIC»</w:t>
      </w:r>
    </w:p>
    <w:p>
      <w:pPr>
        <w:spacing w:after="100"/>
      </w:pPr>
      <w:r>
        <w:rPr>
          <w:color w:val="475569"/>
          <w:sz w:val="18"/>
          <w:szCs w:val="18"/>
        </w:rPr>
        <w:t xml:space="preserve">Copyright del sitio: © [año actual] ArriendoSeguro · Un producto de LOTIC.</w:t>
      </w:r>
    </w:p>
    <w:p>
      <w:r>
        <w:br w:type="page"/>
      </w:r>
    </w:p>
    <w:p>
      <w:pPr>
        <w:pStyle w:val="Heading1"/>
        <w:spacing w:before="260" w:after="120"/>
      </w:pPr>
      <w:r>
        <w:rPr>
          <w:b/>
          <w:bCs/>
          <w:color w:val="0F172A"/>
          <w:sz w:val="28"/>
          <w:szCs w:val="28"/>
        </w:rPr>
        <w:t xml:space="preserve">1. Términos y condiciones de uso</w:t>
      </w:r>
    </w:p>
    <w:p>
      <w:pPr>
        <w:spacing w:after="100"/>
      </w:pPr>
      <w:r>
        <w:rPr>
          <w:color w:val="475569"/>
          <w:sz w:val="18"/>
          <w:szCs w:val="18"/>
        </w:rPr>
        <w:t xml:space="preserve">Marco: Colombia · Última actualización: 11 de agosto de 2026 · Responsable/operador: LOTIC.</w:t>
      </w:r>
    </w:p>
    <w:p>
      <w:pPr>
        <w:pStyle w:val="Heading2"/>
        <w:spacing w:before="200" w:after="90"/>
      </w:pPr>
      <w:r>
        <w:rPr>
          <w:b/>
          <w:bCs/>
          <w:color w:val="5B21B6"/>
          <w:sz w:val="24"/>
          <w:szCs w:val="24"/>
        </w:rPr>
        <w:t xml:space="preserve">1. Objeto de la plataforma</w:t>
      </w:r>
    </w:p>
    <w:p>
      <w:pPr>
        <w:spacing w:after="100"/>
        <w:jc w:val="both"/>
      </w:pPr>
      <w:r>
        <w:rPr>
          <w:b w:val="false"/>
          <w:bCs w:val="false"/>
        </w:rPr>
        <w:t xml:space="preserve">ArriendoSeguro es una plataforma tecnológica (software como servicio) que acompaña a las personas que arriendan directamente entre sí, sin inmobiliaria, en todo el ciclo del arriendo de vivienda urbana en Colombia. Mediante un asistente guiado, fácil e intuitivo, la plataforma permite:</w:t>
      </w:r>
    </w:p>
    <w:p>
      <w:pPr>
        <w:pStyle w:val="ListParagraph"/>
        <w:numPr>
          <w:ilvl w:val="0"/>
          <w:numId w:val="2"/>
        </w:numPr>
        <w:spacing w:after="50"/>
      </w:pPr>
      <w:r>
        <w:rPr>
          <w:b/>
          <w:bCs/>
        </w:rPr>
        <w:t xml:space="preserve">Crear y personalizar el contrato de arrendamiento</w:t>
      </w:r>
      <w:r>
        <w:rPr>
          <w:b w:val="false"/>
          <w:bCs w:val="false"/>
        </w:rPr>
        <w:t xml:space="preserve"> de vivienda urbana conforme a la Ley 820 de 2003, paso a paso, con controles de calidad (validación del documento de identidad por tipo, del teléfono y del tope legal del canon —1% del valor comercial, Ley 820—) que impiden avanzar con datos inválidos o en blanco.</w:t>
      </w:r>
    </w:p>
    <w:p>
      <w:pPr>
        <w:pStyle w:val="ListParagraph"/>
        <w:numPr>
          <w:ilvl w:val="0"/>
          <w:numId w:val="2"/>
        </w:numPr>
        <w:spacing w:after="50"/>
      </w:pPr>
      <w:r>
        <w:rPr>
          <w:b/>
          <w:bCs/>
        </w:rPr>
        <w:t xml:space="preserve">Herramientas de cálculo:</w:t>
      </w:r>
      <w:r>
        <w:rPr>
          <w:b w:val="false"/>
          <w:bCs w:val="false"/>
        </w:rPr>
        <w:t xml:space="preserve"> canon máximo legal, reajuste anual por IPC, preaviso y garantía de servicios públicos.</w:t>
      </w:r>
    </w:p>
    <w:p>
      <w:pPr>
        <w:pStyle w:val="ListParagraph"/>
        <w:numPr>
          <w:ilvl w:val="0"/>
          <w:numId w:val="2"/>
        </w:numPr>
        <w:spacing w:after="50"/>
      </w:pPr>
      <w:r>
        <w:rPr>
          <w:b/>
          <w:bCs/>
        </w:rPr>
        <w:t xml:space="preserve">Sugerencias de cumplimiento normativo</w:t>
      </w:r>
      <w:r>
        <w:rPr>
          <w:b w:val="false"/>
          <w:bCs w:val="false"/>
        </w:rPr>
        <w:t xml:space="preserve"> durante el diligenciamiento (topes, notificaciones, garantías permitidas y formalidades aplicables).</w:t>
      </w:r>
    </w:p>
    <w:p>
      <w:pPr>
        <w:pStyle w:val="ListParagraph"/>
        <w:numPr>
          <w:ilvl w:val="0"/>
          <w:numId w:val="2"/>
        </w:numPr>
        <w:spacing w:after="50"/>
      </w:pPr>
      <w:r>
        <w:rPr>
          <w:b/>
          <w:bCs/>
        </w:rPr>
        <w:t xml:space="preserve">Invitar a la otra parte</w:t>
      </w:r>
      <w:r>
        <w:rPr>
          <w:b w:val="false"/>
          <w:bCs w:val="false"/>
        </w:rPr>
        <w:t xml:space="preserve"> (arrendatario y codeudor) para que ingrese sus propios datos y acepte sus propias declaraciones y juramentos, con verificación por código de un solo uso (OTP).</w:t>
      </w:r>
    </w:p>
    <w:p>
      <w:pPr>
        <w:pStyle w:val="ListParagraph"/>
        <w:numPr>
          <w:ilvl w:val="0"/>
          <w:numId w:val="2"/>
        </w:numPr>
        <w:spacing w:after="50"/>
      </w:pPr>
      <w:r>
        <w:rPr>
          <w:b/>
          <w:bCs/>
        </w:rPr>
        <w:t xml:space="preserve">Cargar y almacenar documentos soporte</w:t>
      </w:r>
      <w:r>
        <w:rPr>
          <w:b w:val="false"/>
          <w:bCs w:val="false"/>
        </w:rPr>
        <w:t xml:space="preserve"> del expediente (por ejemplo, el poder del apoderado y demás soportes), con versiones identificadas.</w:t>
      </w:r>
    </w:p>
    <w:p>
      <w:pPr>
        <w:pStyle w:val="ListParagraph"/>
        <w:numPr>
          <w:ilvl w:val="0"/>
          <w:numId w:val="2"/>
        </w:numPr>
        <w:spacing w:after="50"/>
      </w:pPr>
      <w:r>
        <w:rPr>
          <w:b/>
          <w:bCs/>
        </w:rPr>
        <w:t xml:space="preserve">Firma electrónica simple con evidencia</w:t>
      </w:r>
      <w:r>
        <w:rPr>
          <w:b w:val="false"/>
          <w:bCs w:val="false"/>
        </w:rPr>
        <w:t xml:space="preserve"> (fecha, IP y hash del documento) conforme a la Ley 527 de 1999 y el Decreto 2364 de 2012, por el principio de equivalencia funcional.</w:t>
      </w:r>
    </w:p>
    <w:p>
      <w:pPr>
        <w:pStyle w:val="ListParagraph"/>
        <w:numPr>
          <w:ilvl w:val="0"/>
          <w:numId w:val="2"/>
        </w:numPr>
        <w:spacing w:after="50"/>
      </w:pPr>
      <w:r>
        <w:rPr>
          <w:b/>
          <w:bCs/>
        </w:rPr>
        <w:t xml:space="preserve">Inventario guiado del inmueble</w:t>
      </w:r>
      <w:r>
        <w:rPr>
          <w:b w:val="false"/>
          <w:bCs w:val="false"/>
        </w:rPr>
        <w:t xml:space="preserve"> con fotos por ambiente y generación del acta de entrega.</w:t>
      </w:r>
    </w:p>
    <w:p>
      <w:pPr>
        <w:pStyle w:val="ListParagraph"/>
        <w:numPr>
          <w:ilvl w:val="0"/>
          <w:numId w:val="2"/>
        </w:numPr>
        <w:spacing w:after="50"/>
      </w:pPr>
      <w:r>
        <w:rPr>
          <w:b/>
          <w:bCs/>
        </w:rPr>
        <w:t xml:space="preserve">Calendario y registro informativo de pagos</w:t>
      </w:r>
      <w:r>
        <w:rPr>
          <w:b w:val="false"/>
          <w:bCs w:val="false"/>
        </w:rPr>
        <w:t xml:space="preserve"> del canon, con recordatorios al arrendatario, carga de soportes de pago y escalamiento cuando el pago no se confirma.</w:t>
      </w:r>
    </w:p>
    <w:p>
      <w:pPr>
        <w:pStyle w:val="ListParagraph"/>
        <w:numPr>
          <w:ilvl w:val="0"/>
          <w:numId w:val="2"/>
        </w:numPr>
        <w:spacing w:after="50"/>
      </w:pPr>
      <w:r>
        <w:rPr>
          <w:b/>
          <w:bCs/>
        </w:rPr>
        <w:t xml:space="preserve">Módulo de novedades y mantenimientos</w:t>
      </w:r>
      <w:r>
        <w:rPr>
          <w:b w:val="false"/>
          <w:bCs w:val="false"/>
        </w:rPr>
        <w:t xml:space="preserve"> para registrar solicitudes, reparaciones y su seguimiento entre las partes.</w:t>
      </w:r>
    </w:p>
    <w:p>
      <w:pPr>
        <w:pStyle w:val="ListParagraph"/>
        <w:numPr>
          <w:ilvl w:val="0"/>
          <w:numId w:val="2"/>
        </w:numPr>
        <w:spacing w:after="50"/>
      </w:pPr>
      <w:r>
        <w:rPr>
          <w:b/>
          <w:bCs/>
        </w:rPr>
        <w:t xml:space="preserve">Alertas y notificaciones</w:t>
      </w:r>
      <w:r>
        <w:rPr>
          <w:b w:val="false"/>
          <w:bCs w:val="false"/>
        </w:rPr>
        <w:t xml:space="preserve"> de vencimiento, terminación, renovación y reajuste por IPC, por los canales habilitados.</w:t>
      </w:r>
    </w:p>
    <w:p>
      <w:pPr>
        <w:pStyle w:val="ListParagraph"/>
        <w:numPr>
          <w:ilvl w:val="0"/>
          <w:numId w:val="2"/>
        </w:numPr>
        <w:spacing w:after="50"/>
      </w:pPr>
      <w:r>
        <w:rPr>
          <w:b/>
          <w:bCs/>
        </w:rPr>
        <w:t xml:space="preserve">Renovar el contrato</w:t>
      </w:r>
      <w:r>
        <w:rPr>
          <w:b w:val="false"/>
          <w:bCs w:val="false"/>
        </w:rPr>
        <w:t xml:space="preserve"> a partir del expediente anterior.</w:t>
      </w:r>
    </w:p>
    <w:p>
      <w:pPr>
        <w:pStyle w:val="ListParagraph"/>
        <w:numPr>
          <w:ilvl w:val="0"/>
          <w:numId w:val="2"/>
        </w:numPr>
        <w:spacing w:after="50"/>
      </w:pPr>
      <w:r>
        <w:rPr>
          <w:b/>
          <w:bCs/>
        </w:rPr>
        <w:t xml:space="preserve">Evaluación estructurada de la experiencia</w:t>
      </w:r>
      <w:r>
        <w:rPr>
          <w:b w:val="false"/>
          <w:bCs w:val="false"/>
        </w:rPr>
        <w:t xml:space="preserve"> (calificación mutua entre las partes) y consulta de reputación con el consentimiento del titular, conforme a la Ley 1581 de 2012 (Habeas Data).</w:t>
      </w:r>
    </w:p>
    <w:p>
      <w:pPr>
        <w:pStyle w:val="ListParagraph"/>
        <w:numPr>
          <w:ilvl w:val="0"/>
          <w:numId w:val="2"/>
        </w:numPr>
        <w:spacing w:after="50"/>
      </w:pPr>
      <w:r>
        <w:rPr>
          <w:b/>
          <w:bCs/>
        </w:rPr>
        <w:t xml:space="preserve">Generar evidencia y exportables</w:t>
      </w:r>
      <w:r>
        <w:rPr>
          <w:b w:val="false"/>
          <w:bCs w:val="false"/>
        </w:rPr>
        <w:t xml:space="preserve"> del expediente, además de plantillas y guías legales orientativas.</w:t>
      </w:r>
    </w:p>
    <w:p>
      <w:pPr>
        <w:spacing w:after="100"/>
        <w:jc w:val="both"/>
      </w:pPr>
      <w:r>
        <w:rPr>
          <w:b w:val="false"/>
          <w:bCs w:val="false"/>
        </w:rPr>
        <w:t xml:space="preserve">Todo lo anterior se ofrece dentro de los límites técnicos y legales descritos en estos términos. La disponibilidad de cada función depende del plan contratado (ver cláusula 13) y de la configuración vigente de la plataforma.</w:t>
      </w:r>
    </w:p>
    <w:p>
      <w:pPr>
        <w:pStyle w:val="Heading2"/>
        <w:spacing w:before="200" w:after="90"/>
      </w:pPr>
      <w:r>
        <w:rPr>
          <w:b/>
          <w:bCs/>
          <w:color w:val="5B21B6"/>
          <w:sz w:val="24"/>
          <w:szCs w:val="24"/>
        </w:rPr>
        <w:t xml:space="preserve">2. Naturaleza del servicio</w:t>
      </w:r>
    </w:p>
    <w:p>
      <w:pPr>
        <w:spacing w:after="100"/>
        <w:jc w:val="both"/>
      </w:pPr>
      <w:r>
        <w:rPr>
          <w:b w:val="false"/>
          <w:bCs w:val="false"/>
        </w:rPr>
        <w:t xml:space="preserve">El servicio es de intermediación tecnológica y de software: no sustituye asesoría legal, tributaria, catastral ni notarial. Las partes son responsables del negocio jurídico del arriendo, de la veracidad de los datos y de cumplir la normativa aplicable (por ejemplo, normas de vivienda urbana y defensa del consumidor cuando corresponda, conforme a la Ley 1480 de 2011 y sus desarrollos).</w:t>
      </w:r>
    </w:p>
    <w:p>
      <w:pPr>
        <w:pStyle w:val="Heading2"/>
        <w:spacing w:before="200" w:after="90"/>
      </w:pPr>
      <w:r>
        <w:rPr>
          <w:b/>
          <w:bCs/>
          <w:color w:val="5B21B6"/>
          <w:sz w:val="24"/>
          <w:szCs w:val="24"/>
        </w:rPr>
        <w:t xml:space="preserve">3. ArriendoSeguro como herramienta tecnológica</w:t>
      </w:r>
    </w:p>
    <w:p>
      <w:pPr>
        <w:spacing w:after="100"/>
        <w:jc w:val="both"/>
      </w:pPr>
      <w:r>
        <w:rPr>
          <w:b w:val="false"/>
          <w:bCs w:val="false"/>
        </w:rPr>
        <w:t xml:space="preserve">La plataforma organiza en un expediente digital único los datos, borradores, versiones, documentos soporte, firmas, inventario, acta de entrega, registros de pago, novedades, alertas y calificaciones asociados al arriendo que usted gestiona, de modo que las partes tengan trazabilidad y evidencia en un solo lugar. La plataforma automatiza cálculos, recordatorios y notificaciones, pero no reemplaza la voluntad ni las decisiones de las partes: la validez y oportunidad de los actos jurídicos dependen de las partes, del contenido acordado y de las formalidades que exija la ley para cada caso concreto.</w:t>
      </w:r>
    </w:p>
    <w:p>
      <w:pPr>
        <w:pStyle w:val="Heading2"/>
        <w:spacing w:before="200" w:after="90"/>
      </w:pPr>
      <w:r>
        <w:rPr>
          <w:b/>
          <w:bCs/>
          <w:color w:val="5B21B6"/>
          <w:sz w:val="24"/>
          <w:szCs w:val="24"/>
        </w:rPr>
        <w:t xml:space="preserve">4. No somos inmobiliaria</w:t>
      </w:r>
    </w:p>
    <w:p>
      <w:pPr>
        <w:spacing w:after="100"/>
        <w:jc w:val="both"/>
      </w:pPr>
      <w:r>
        <w:rPr>
          <w:b w:val="false"/>
          <w:bCs w:val="false"/>
        </w:rPr>
        <w:t xml:space="preserve">ArriendoSeguro no promueve inmuebles, no publica ofertas de arriendo como corredor, no visita predios, no negocia condiciones por cuenta de las partes ni cobra comisión por arrendar. Las partes contratan entre sí por su propia cuenta.</w:t>
      </w:r>
    </w:p>
    <w:p>
      <w:pPr>
        <w:pStyle w:val="Heading2"/>
        <w:spacing w:before="200" w:after="90"/>
      </w:pPr>
      <w:r>
        <w:rPr>
          <w:b/>
          <w:bCs/>
          <w:color w:val="5B21B6"/>
          <w:sz w:val="24"/>
          <w:szCs w:val="24"/>
        </w:rPr>
        <w:t xml:space="preserve">5. No somos abogado</w:t>
      </w:r>
    </w:p>
    <w:p>
      <w:pPr>
        <w:spacing w:after="100"/>
        <w:jc w:val="both"/>
      </w:pPr>
      <w:r>
        <w:rPr>
          <w:b w:val="false"/>
          <w:bCs w:val="false"/>
        </w:rPr>
        <w:t xml:space="preserve">Nada en la plataforma constituye asesoría legal. Para revisar cláusulas, situaciones especiales, personas jurídicas, subsidios, garantías distintas a las permitidas o cualquier duda jurídica, debe consultar a un abogado colegiado en Colombia.</w:t>
      </w:r>
    </w:p>
    <w:p>
      <w:pPr>
        <w:pStyle w:val="Heading2"/>
        <w:spacing w:before="200" w:after="90"/>
      </w:pPr>
      <w:r>
        <w:rPr>
          <w:b/>
          <w:bCs/>
          <w:color w:val="5B21B6"/>
          <w:sz w:val="24"/>
          <w:szCs w:val="24"/>
        </w:rPr>
        <w:t xml:space="preserve">6. No somos aseguradora</w:t>
      </w:r>
    </w:p>
    <w:p>
      <w:pPr>
        <w:spacing w:after="100"/>
        <w:jc w:val="both"/>
      </w:pPr>
      <w:r>
        <w:rPr>
          <w:b w:val="false"/>
          <w:bCs w:val="false"/>
        </w:rPr>
        <w:t xml:space="preserve">El nombre comercial no implica póliza, cobertura, liquidación de siniestros ni servicios propios de compañías de seguros supervisadas por la Superintendencia Financiera de Colombia.</w:t>
      </w:r>
    </w:p>
    <w:p>
      <w:pPr>
        <w:pStyle w:val="Heading2"/>
        <w:spacing w:before="200" w:after="90"/>
      </w:pPr>
      <w:r>
        <w:rPr>
          <w:b/>
          <w:bCs/>
          <w:color w:val="5B21B6"/>
          <w:sz w:val="24"/>
          <w:szCs w:val="24"/>
        </w:rPr>
        <w:t xml:space="preserve">7. No garantizamos pagos</w:t>
      </w:r>
    </w:p>
    <w:p>
      <w:pPr>
        <w:spacing w:after="100"/>
        <w:jc w:val="both"/>
      </w:pPr>
      <w:r>
        <w:rPr>
          <w:b w:val="false"/>
          <w:bCs w:val="false"/>
        </w:rPr>
        <w:t xml:space="preserve">La plataforma no garantiza que el arrendatario pague el canon ni que el arrendador cumpla entrega u obligaciones accesorias. Cualquier registro de pagos es informativo y no constituye recaudo, fideicomiso ni garantía de cumplimiento salvo que en el futuro se ofrezca un producto distinto expresamente regulado.</w:t>
      </w:r>
    </w:p>
    <w:p>
      <w:pPr>
        <w:pStyle w:val="Heading2"/>
        <w:spacing w:before="200" w:after="90"/>
      </w:pPr>
      <w:r>
        <w:rPr>
          <w:b/>
          <w:bCs/>
          <w:color w:val="5B21B6"/>
          <w:sz w:val="24"/>
          <w:szCs w:val="24"/>
        </w:rPr>
        <w:t xml:space="preserve">8. No recaudamos cánones</w:t>
      </w:r>
    </w:p>
    <w:p>
      <w:pPr>
        <w:spacing w:after="100"/>
        <w:jc w:val="both"/>
      </w:pPr>
      <w:r>
        <w:rPr>
          <w:b w:val="false"/>
          <w:bCs w:val="false"/>
        </w:rPr>
        <w:t xml:space="preserve">ArriendoSeguro no recibe ni administra el dinero del canon entre las partes. Los pagos del canon se realizan fuera de la plataforma o por los medios que las partes acuerden, bajo su propio riesgo.</w:t>
      </w:r>
    </w:p>
    <w:p>
      <w:pPr>
        <w:pStyle w:val="Heading2"/>
        <w:spacing w:before="200" w:after="90"/>
      </w:pPr>
      <w:r>
        <w:rPr>
          <w:b/>
          <w:bCs/>
          <w:color w:val="5B21B6"/>
          <w:sz w:val="24"/>
          <w:szCs w:val="24"/>
        </w:rPr>
        <w:t xml:space="preserve">9. Uso permitido</w:t>
      </w:r>
    </w:p>
    <w:p>
      <w:pPr>
        <w:pStyle w:val="ListParagraph"/>
        <w:numPr>
          <w:ilvl w:val="0"/>
          <w:numId w:val="2"/>
        </w:numPr>
        <w:spacing w:after="50"/>
      </w:pPr>
      <w:r>
        <w:rPr>
          <w:b w:val="false"/>
          <w:bCs w:val="false"/>
        </w:rPr>
        <w:t xml:space="preserve">Usar la plataforma de buena fe y con datos veraces.</w:t>
      </w:r>
    </w:p>
    <w:p>
      <w:pPr>
        <w:pStyle w:val="ListParagraph"/>
        <w:numPr>
          <w:ilvl w:val="0"/>
          <w:numId w:val="2"/>
        </w:numPr>
        <w:spacing w:after="50"/>
      </w:pPr>
      <w:r>
        <w:rPr>
          <w:b w:val="false"/>
          <w:bCs w:val="false"/>
        </w:rPr>
        <w:t xml:space="preserve">No suplantar identidades ni cargar documentos falsos.</w:t>
      </w:r>
    </w:p>
    <w:p>
      <w:pPr>
        <w:pStyle w:val="ListParagraph"/>
        <w:numPr>
          <w:ilvl w:val="0"/>
          <w:numId w:val="2"/>
        </w:numPr>
        <w:spacing w:after="50"/>
      </w:pPr>
      <w:r>
        <w:rPr>
          <w:b w:val="false"/>
          <w:bCs w:val="false"/>
        </w:rPr>
        <w:t xml:space="preserve">No emplear la plataforma para lavado de activos, fraude, acoso, discriminación ilícita o fines delictivos.</w:t>
      </w:r>
    </w:p>
    <w:p>
      <w:pPr>
        <w:pStyle w:val="ListParagraph"/>
        <w:numPr>
          <w:ilvl w:val="0"/>
          <w:numId w:val="2"/>
        </w:numPr>
        <w:spacing w:after="50"/>
      </w:pPr>
      <w:r>
        <w:rPr>
          <w:b w:val="false"/>
          <w:bCs w:val="false"/>
        </w:rPr>
        <w:t xml:space="preserve">Respetar los derechos de terceros y la propiedad intelectual de ArriendoSeguro y de otros usuarios.</w:t>
      </w:r>
    </w:p>
    <w:p>
      <w:pPr>
        <w:pStyle w:val="Heading2"/>
        <w:spacing w:before="200" w:after="90"/>
      </w:pPr>
      <w:r>
        <w:rPr>
          <w:b/>
          <w:bCs/>
          <w:color w:val="5B21B6"/>
          <w:sz w:val="24"/>
          <w:szCs w:val="24"/>
        </w:rPr>
        <w:t xml:space="preserve">10. Obligaciones del usuario</w:t>
      </w:r>
    </w:p>
    <w:p>
      <w:pPr>
        <w:spacing w:after="100"/>
        <w:jc w:val="both"/>
      </w:pPr>
      <w:r>
        <w:rPr>
          <w:b w:val="false"/>
          <w:bCs w:val="false"/>
        </w:rPr>
        <w:t xml:space="preserve">Debe mantener la confidencialidad de su cuenta, revisar las versiones del contrato antes de firmar, conservar copias propias de los documentos importantes y cumplir la normativa de protección de datos cuando actúe como responsable frente a otras personas (por ejemplo, al compartir datos de codeudores o fotos de terceros en inventarios).</w:t>
      </w:r>
    </w:p>
    <w:p>
      <w:pPr>
        <w:pStyle w:val="Heading2"/>
        <w:spacing w:before="200" w:after="90"/>
      </w:pPr>
      <w:r>
        <w:rPr>
          <w:b/>
          <w:bCs/>
          <w:color w:val="5B21B6"/>
          <w:sz w:val="24"/>
          <w:szCs w:val="24"/>
        </w:rPr>
        <w:t xml:space="preserve">11. Documentos generados</w:t>
      </w:r>
    </w:p>
    <w:p>
      <w:pPr>
        <w:spacing w:after="100"/>
        <w:jc w:val="both"/>
      </w:pPr>
      <w:r>
        <w:rPr>
          <w:b w:val="false"/>
          <w:bCs w:val="false"/>
        </w:rPr>
        <w:t xml:space="preserve">Las plantillas y salidas de la plataforma son ayudas de formalización. La validez frente a terceros y autoridades depende del cumplimiento de requisitos legales, de la correspondencia con la realidad y de las firmas o solemnidades aplicables. Las versiones quedan identificadas en el sistema cuando la funcionalidad lo permita, según la política de firma electrónica.</w:t>
      </w:r>
    </w:p>
    <w:p>
      <w:pPr>
        <w:pStyle w:val="Heading2"/>
        <w:spacing w:before="200" w:after="90"/>
      </w:pPr>
      <w:r>
        <w:rPr>
          <w:b/>
          <w:bCs/>
          <w:color w:val="5B21B6"/>
          <w:sz w:val="24"/>
          <w:szCs w:val="24"/>
        </w:rPr>
        <w:t xml:space="preserve">12. Plan demo</w:t>
      </w:r>
    </w:p>
    <w:p>
      <w:pPr>
        <w:spacing w:after="100"/>
        <w:jc w:val="both"/>
      </w:pPr>
      <w:r>
        <w:rPr>
          <w:b w:val="false"/>
          <w:bCs w:val="false"/>
        </w:rPr>
        <w:t xml:space="preserve">El modo demo permite explorar la interfaz con datos ficticios o marcas de agua. No produce contratos válidos para uso probatorio ni sustituye el Plan Plus. Detalle en «Condiciones del modo demo».</w:t>
      </w:r>
    </w:p>
    <w:p>
      <w:pPr>
        <w:pStyle w:val="Heading2"/>
        <w:spacing w:before="200" w:after="90"/>
      </w:pPr>
      <w:r>
        <w:rPr>
          <w:b/>
          <w:bCs/>
          <w:color w:val="5B21B6"/>
          <w:sz w:val="24"/>
          <w:szCs w:val="24"/>
        </w:rPr>
        <w:t xml:space="preserve">13. Planes: precio de introducción, contrato gratis por referidos y servicios de aliados</w:t>
      </w:r>
    </w:p>
    <w:p>
      <w:pPr>
        <w:spacing w:after="100"/>
        <w:jc w:val="both"/>
      </w:pPr>
      <w:r>
        <w:rPr>
          <w:b w:val="false"/>
          <w:bCs w:val="false"/>
        </w:rPr>
        <w:t xml:space="preserve">ArriendoSeguro ofrece un plan por contrato y un mecanismo de contrato gratis por referidos:</w:t>
      </w:r>
    </w:p>
    <w:p>
      <w:pPr>
        <w:pStyle w:val="ListParagraph"/>
        <w:numPr>
          <w:ilvl w:val="0"/>
          <w:numId w:val="2"/>
        </w:numPr>
        <w:spacing w:after="50"/>
      </w:pPr>
      <w:r>
        <w:rPr>
          <w:b/>
          <w:bCs/>
        </w:rPr>
        <w:t xml:space="preserve">Plan por contrato (precio de introducción):</w:t>
      </w:r>
      <w:r>
        <w:rPr>
          <w:b w:val="false"/>
          <w:bCs w:val="false"/>
        </w:rPr>
        <w:t xml:space="preserve"> el contrato se paga por una sola vez (no es mensual), con un precio de introducción de $49.900 (precio de lista $89.900) que se muestra al contratar. Ese pago INCLUYE todo: la firma electrónica con validez y evidencia (Ley 527 de 1999), el inventario y acta de entrega, el calendario y registro de pagos, los soportes y anexos, el módulo de novedades y solicitudes, las alertas de terminación o renovación y la calificación de reputación. Solo las herramientas sueltas (calculadoras, plantillas descargables y el blog) son gratuitas. El precio de introducción es una oferta promocional temporal y puede actualizarse con preaviso razonable.</w:t>
      </w:r>
    </w:p>
    <w:p>
      <w:pPr>
        <w:pStyle w:val="ListParagraph"/>
        <w:numPr>
          <w:ilvl w:val="0"/>
          <w:numId w:val="2"/>
        </w:numPr>
        <w:spacing w:after="50"/>
      </w:pPr>
      <w:r>
        <w:rPr>
          <w:b/>
          <w:bCs/>
        </w:rPr>
        <w:t xml:space="preserve">Contrato gratis por referidos:</w:t>
      </w:r>
      <w:r>
        <w:rPr>
          <w:b w:val="false"/>
          <w:bCs w:val="false"/>
        </w:rPr>
        <w:t xml:space="preserve"> si invitas a 3 personas y al menos 2 de ellas usan la app (generan su propio contrato), obtienes un contrato gratis con la firma incluida. Es un beneficio promocional y temporal: ArriendoSeguro podrá, en cualquier momento y en la medida permitida por la ley, modificarlo, condicionarlo, limitar su alcance o darlo por terminado de manera prospectiva y con aviso razonable. No genera derechos adquiridos sobre su permanencia, precio futuro ni condiciones, y no afecta los contratos que ya hayas generado ni lo que ya hayas adquirido, conforme a la Ley 1480 de 2011.</w:t>
      </w:r>
    </w:p>
    <w:p>
      <w:pPr>
        <w:spacing w:after="100"/>
        <w:jc w:val="both"/>
      </w:pPr>
      <w:r>
        <w:rPr>
          <w:b/>
          <w:bCs/>
        </w:rPr>
        <w:t xml:space="preserve">Servicios de aliados (terceros):</w:t>
      </w:r>
      <w:r>
        <w:rPr>
          <w:b w:val="false"/>
          <w:bCs w:val="false"/>
        </w:rPr>
        <w:t xml:space="preserve"> de forma opcional podrás acceder a servicios de aliados con costo independiente (por ejemplo, seguros de arrendamiento, estudio de crédito, autenticación notarial, cobranza o asesoría jurídica). No son planes de ArriendoSeguro: los presta y cobra directamente el tercero, bajo sus propias condiciones, y tú decides libremente si los tomas según tu necesidad puntual. ArriendoSeguro no garantiza ni responde por esos servicios de terceros.</w:t>
      </w:r>
    </w:p>
    <w:p>
      <w:pPr>
        <w:spacing w:after="100"/>
        <w:jc w:val="both"/>
      </w:pPr>
      <w:r>
        <w:rPr>
          <w:b/>
          <w:bCs/>
        </w:rPr>
        <w:t xml:space="preserve">Tratamiento tributario (IVA).</w:t>
      </w:r>
      <w:r>
        <w:rPr>
          <w:b w:val="false"/>
          <w:bCs w:val="false"/>
        </w:rPr>
        <w:t xml:space="preserve"> Los precios se informan según el régimen tributario aplicable; cuando la operación esté gravada, el IVA (art. 437 y concordantes del Estatuto Tributario) se discrimina o incluye según corresponda al momento de la facturación.</w:t>
      </w:r>
    </w:p>
    <w:p>
      <w:pPr>
        <w:spacing w:after="100"/>
        <w:jc w:val="both"/>
      </w:pPr>
      <w:r>
        <w:rPr>
          <w:b/>
          <w:bCs/>
        </w:rPr>
        <w:t xml:space="preserve">Inicio del contrato definitivo y uso del cupo.</w:t>
      </w:r>
      <w:r>
        <w:rPr>
          <w:b w:val="false"/>
          <w:bCs w:val="false"/>
        </w:rPr>
        <w:t xml:space="preserve"> Mientras un expediente no se haya iniciado como definitivo, puedes editarlo o eliminarlo libremente y el cupo del plan no se consume. Al pulsar «Iniciar contrato definitivo», el expediente queda guardado, iniciado y bloqueado: no podrá eliminarse y consume el cupo pagado. Desde ese momento solo podrás ajustar elementos que no alteran el contenido contractual (recordatorios de pago, datos de contacto para notificaciones, novedades y soportes); los datos de fondo (partes, canon, fechas, cláusulas e inmueble) quedan en firme. Generar un nuevo contrato requiere un nuevo pago. Cualquier cambio de fondo sobre un contrato ya iniciado deberá ser autorizado y realizado por ArriendoSeguro.</w:t>
      </w:r>
    </w:p>
    <w:p>
      <w:pPr>
        <w:pStyle w:val="Heading2"/>
        <w:spacing w:before="200" w:after="90"/>
      </w:pPr>
      <w:r>
        <w:rPr>
          <w:b/>
          <w:bCs/>
          <w:color w:val="5B21B6"/>
          <w:sz w:val="24"/>
          <w:szCs w:val="24"/>
        </w:rPr>
        <w:t xml:space="preserve">14. Pagos de la plataforma</w:t>
      </w:r>
    </w:p>
    <w:p>
      <w:pPr>
        <w:spacing w:after="100"/>
        <w:jc w:val="both"/>
      </w:pPr>
      <w:r>
        <w:rPr>
          <w:b w:val="false"/>
          <w:bCs w:val="false"/>
        </w:rPr>
        <w:t xml:space="preserve">Los cobros de ArriendoSeguro corresponden al software y servicios de la plataforma (suscripción u otro modelo publicado), no al canon de arrendamiento. Los pagos se procesan a través de proveedores de pago; al usarlos acepta también sus términos cuando aplique.</w:t>
      </w:r>
    </w:p>
    <w:p>
      <w:pPr>
        <w:pStyle w:val="Heading2"/>
        <w:spacing w:before="200" w:after="90"/>
      </w:pPr>
      <w:r>
        <w:rPr>
          <w:b/>
          <w:bCs/>
          <w:color w:val="5B21B6"/>
          <w:sz w:val="24"/>
          <w:szCs w:val="24"/>
        </w:rPr>
        <w:t xml:space="preserve">15. Limitación de responsabilidad</w:t>
      </w:r>
    </w:p>
    <w:p>
      <w:pPr>
        <w:spacing w:after="100"/>
        <w:jc w:val="both"/>
      </w:pPr>
      <w:r>
        <w:rPr>
          <w:b w:val="false"/>
          <w:bCs w:val="false"/>
        </w:rPr>
        <w:t xml:space="preserve">En la medida permitida por la ley colombiana, ArriendoSeguro no responde por lucro cesante, daños indirectos o pérdidas derivadas de decisiones de las partes, de indisponibilidad temporal del servicio o de hechos de terceros. No se excluyen responsabilidades que la ley considere irrenunciables.</w:t>
      </w:r>
    </w:p>
    <w:p>
      <w:pPr>
        <w:pStyle w:val="Heading2"/>
        <w:spacing w:before="200" w:after="90"/>
      </w:pPr>
      <w:r>
        <w:rPr>
          <w:b/>
          <w:bCs/>
          <w:color w:val="5B21B6"/>
          <w:sz w:val="24"/>
          <w:szCs w:val="24"/>
        </w:rPr>
        <w:t xml:space="preserve">16. Propiedad intelectual</w:t>
      </w:r>
    </w:p>
    <w:p>
      <w:pPr>
        <w:spacing w:after="100"/>
        <w:jc w:val="both"/>
      </w:pPr>
      <w:r>
        <w:rPr>
          <w:b w:val="false"/>
          <w:bCs w:val="false"/>
        </w:rPr>
        <w:t xml:space="preserve">Marca, diseño, código, textos de la plataforma y plantillas propias están protegidos. Usted conserva los derechos sobre el contenido que cargue; otorga a ArriendoSeguro una licencia limitada para alojar, procesar y mostrar ese contenido según sea necesario para prestar el servicio.</w:t>
      </w:r>
    </w:p>
    <w:p>
      <w:pPr>
        <w:pStyle w:val="Heading2"/>
        <w:spacing w:before="200" w:after="90"/>
      </w:pPr>
      <w:r>
        <w:rPr>
          <w:b/>
          <w:bCs/>
          <w:color w:val="5B21B6"/>
          <w:sz w:val="24"/>
          <w:szCs w:val="24"/>
        </w:rPr>
        <w:t xml:space="preserve">17. Suspensión de cuentas</w:t>
      </w:r>
    </w:p>
    <w:p>
      <w:pPr>
        <w:spacing w:after="100"/>
        <w:jc w:val="both"/>
      </w:pPr>
      <w:r>
        <w:rPr>
          <w:b w:val="false"/>
          <w:bCs w:val="false"/>
        </w:rPr>
        <w:t xml:space="preserve">Podemos suspender o cerrar cuentas ante uso fraudulento, incumplimiento grave de estos términos, requerimiento de autoridad competente o riesgo para la seguridad. Cuando sea razonable, se enviará aviso por los canales disponibles.</w:t>
      </w:r>
    </w:p>
    <w:p>
      <w:pPr>
        <w:pStyle w:val="Heading2"/>
        <w:spacing w:before="200" w:after="90"/>
      </w:pPr>
      <w:r>
        <w:rPr>
          <w:b/>
          <w:bCs/>
          <w:color w:val="5B21B6"/>
          <w:sz w:val="24"/>
          <w:szCs w:val="24"/>
        </w:rPr>
        <w:t xml:space="preserve">18. Soporte</w:t>
      </w:r>
    </w:p>
    <w:p>
      <w:pPr>
        <w:spacing w:after="100"/>
        <w:jc w:val="both"/>
      </w:pPr>
      <w:r>
        <w:rPr>
          <w:b w:val="false"/>
          <w:bCs w:val="false"/>
        </w:rPr>
        <w:t xml:space="preserve">El soporte se presta por los canales habilitados en la aplicación (correo, formulario o chat según disponibilidad). Los tiempos de respuesta son orientativos y no incluyen asesoría legal.</w:t>
      </w:r>
    </w:p>
    <w:p>
      <w:pPr>
        <w:pStyle w:val="Heading2"/>
        <w:spacing w:before="200" w:after="90"/>
      </w:pPr>
      <w:r>
        <w:rPr>
          <w:b/>
          <w:bCs/>
          <w:color w:val="5B21B6"/>
          <w:sz w:val="24"/>
          <w:szCs w:val="24"/>
        </w:rPr>
        <w:t xml:space="preserve">19. Modificaciones</w:t>
      </w:r>
    </w:p>
    <w:p>
      <w:pPr>
        <w:spacing w:after="100"/>
        <w:jc w:val="both"/>
      </w:pPr>
      <w:r>
        <w:rPr>
          <w:b w:val="false"/>
          <w:bCs w:val="false"/>
        </w:rPr>
        <w:t xml:space="preserve">Podemos actualizar estos términos publicando la nueva versión en esta sección. El uso continuado después de la publicación puede implicar aceptación, salvo que la ley exija otro procedimiento para cambios sustanciales.</w:t>
      </w:r>
    </w:p>
    <w:p>
      <w:pPr>
        <w:pStyle w:val="Heading2"/>
        <w:spacing w:before="200" w:after="90"/>
      </w:pPr>
      <w:r>
        <w:rPr>
          <w:b/>
          <w:bCs/>
          <w:color w:val="5B21B6"/>
          <w:sz w:val="24"/>
          <w:szCs w:val="24"/>
        </w:rPr>
        <w:t xml:space="preserve">20. Contacto</w:t>
      </w:r>
    </w:p>
    <w:p>
      <w:pPr>
        <w:spacing w:after="100"/>
        <w:jc w:val="both"/>
      </w:pPr>
      <w:r>
        <w:rPr>
          <w:b w:val="false"/>
          <w:bCs w:val="false"/>
        </w:rPr>
        <w:t xml:space="preserve">Consultas sobre estos términos: escriba a contacto@arriendoseguro.app o use los canales de contacto publicados en el sitio o en la aplicación. Para ejercer derechos sobre datos personales, consulte la Política de tratamiento de datos personales.</w:t>
      </w:r>
    </w:p>
    <w:p>
      <w:r>
        <w:br w:type="page"/>
      </w:r>
    </w:p>
    <w:p>
      <w:pPr>
        <w:pStyle w:val="Heading1"/>
        <w:spacing w:before="260" w:after="120"/>
      </w:pPr>
      <w:r>
        <w:rPr>
          <w:b/>
          <w:bCs/>
          <w:color w:val="0F172A"/>
          <w:sz w:val="28"/>
          <w:szCs w:val="28"/>
        </w:rPr>
        <w:t xml:space="preserve">2. Política de tratamiento de la información personal (datos personales)</w:t>
      </w:r>
    </w:p>
    <w:p>
      <w:pPr>
        <w:spacing w:after="100"/>
      </w:pPr>
      <w:r>
        <w:rPr>
          <w:color w:val="475569"/>
          <w:sz w:val="18"/>
          <w:szCs w:val="18"/>
        </w:rPr>
        <w:t xml:space="preserve">Marco: Ley 1581 de 2012, Decreto 1377 de 2013 y demás normas concordantes (Colombia).</w:t>
      </w:r>
    </w:p>
    <w:p>
      <w:pPr>
        <w:pStyle w:val="Heading2"/>
        <w:spacing w:before="200" w:after="90"/>
      </w:pPr>
      <w:r>
        <w:rPr>
          <w:b/>
          <w:bCs/>
          <w:color w:val="5B21B6"/>
          <w:sz w:val="24"/>
          <w:szCs w:val="24"/>
        </w:rPr>
        <w:t xml:space="preserve">1. Responsable del tratamiento</w:t>
      </w:r>
    </w:p>
    <w:p>
      <w:pPr>
        <w:spacing w:after="100"/>
        <w:jc w:val="both"/>
      </w:pPr>
      <w:r>
        <w:rPr>
          <w:b w:val="false"/>
          <w:bCs w:val="false"/>
        </w:rPr>
        <w:t xml:space="preserve">El responsable del tratamiento de los datos personales tratados a través de la plataforma ArriendoSeguro es LOTIC, operador de la plataforma, con domicilio en Medellín (Colombia). El canal de atención y de ejercicio de derechos de habeas data es contacto@arriendoseguro.app, sin perjuicio de los demás canales publicados en la aplicación.</w:t>
      </w:r>
    </w:p>
    <w:p>
      <w:pPr>
        <w:pStyle w:val="Heading2"/>
        <w:spacing w:before="200" w:after="90"/>
      </w:pPr>
      <w:r>
        <w:rPr>
          <w:b/>
          <w:bCs/>
          <w:color w:val="5B21B6"/>
          <w:sz w:val="24"/>
          <w:szCs w:val="24"/>
        </w:rPr>
        <w:t xml:space="preserve">2. Datos recolectados</w:t>
      </w:r>
    </w:p>
    <w:p>
      <w:pPr>
        <w:pStyle w:val="ListParagraph"/>
        <w:numPr>
          <w:ilvl w:val="0"/>
          <w:numId w:val="2"/>
        </w:numPr>
        <w:spacing w:after="50"/>
      </w:pPr>
      <w:r>
        <w:rPr>
          <w:b w:val="false"/>
          <w:bCs w:val="false"/>
        </w:rPr>
        <w:t xml:space="preserve">Datos de identificación y contacto (nombre, documento, correo, teléfono, ciudad).</w:t>
      </w:r>
    </w:p>
    <w:p>
      <w:pPr>
        <w:pStyle w:val="ListParagraph"/>
        <w:numPr>
          <w:ilvl w:val="0"/>
          <w:numId w:val="2"/>
        </w:numPr>
        <w:spacing w:after="50"/>
      </w:pPr>
      <w:r>
        <w:rPr>
          <w:b w:val="false"/>
          <w:bCs w:val="false"/>
        </w:rPr>
        <w:t xml:space="preserve">Direcciones y datos del inmueble objeto del expediente.</w:t>
      </w:r>
    </w:p>
    <w:p>
      <w:pPr>
        <w:pStyle w:val="ListParagraph"/>
        <w:numPr>
          <w:ilvl w:val="0"/>
          <w:numId w:val="2"/>
        </w:numPr>
        <w:spacing w:after="50"/>
      </w:pPr>
      <w:r>
        <w:rPr>
          <w:b w:val="false"/>
          <w:bCs w:val="false"/>
        </w:rPr>
        <w:t xml:space="preserve">Contenido que usted carga (contratos, inventarios, fotografías, anexos).</w:t>
      </w:r>
    </w:p>
    <w:p>
      <w:pPr>
        <w:pStyle w:val="ListParagraph"/>
        <w:numPr>
          <w:ilvl w:val="0"/>
          <w:numId w:val="2"/>
        </w:numPr>
        <w:spacing w:after="50"/>
      </w:pPr>
      <w:r>
        <w:rPr>
          <w:b w:val="false"/>
          <w:bCs w:val="false"/>
        </w:rPr>
        <w:t xml:space="preserve">Datos técnicos de conexión (dirección IP, user agent, fecha y hora) asociados a firmas y auditoría.</w:t>
      </w:r>
    </w:p>
    <w:p>
      <w:pPr>
        <w:pStyle w:val="ListParagraph"/>
        <w:numPr>
          <w:ilvl w:val="0"/>
          <w:numId w:val="2"/>
        </w:numPr>
        <w:spacing w:after="50"/>
      </w:pPr>
      <w:r>
        <w:rPr>
          <w:b w:val="false"/>
          <w:bCs w:val="false"/>
        </w:rPr>
        <w:t xml:space="preserve">Datos de pago de la suscripción a la plataforma (a través del proveedor de pagos; no almacenamos PAN completo).</w:t>
      </w:r>
    </w:p>
    <w:p>
      <w:pPr>
        <w:pStyle w:val="ListParagraph"/>
        <w:numPr>
          <w:ilvl w:val="0"/>
          <w:numId w:val="2"/>
        </w:numPr>
        <w:spacing w:after="50"/>
      </w:pPr>
      <w:r>
        <w:rPr>
          <w:b w:val="false"/>
          <w:bCs w:val="false"/>
        </w:rPr>
        <w:t xml:space="preserve">Respuestas a formularios de evaluación estructurada cuando la función esté activa.</w:t>
      </w:r>
    </w:p>
    <w:p>
      <w:pPr>
        <w:pStyle w:val="Heading2"/>
        <w:spacing w:before="200" w:after="90"/>
      </w:pPr>
      <w:r>
        <w:rPr>
          <w:b/>
          <w:bCs/>
          <w:color w:val="5B21B6"/>
          <w:sz w:val="24"/>
          <w:szCs w:val="24"/>
        </w:rPr>
        <w:t xml:space="preserve">3. Finalidades</w:t>
      </w:r>
    </w:p>
    <w:p>
      <w:pPr>
        <w:pStyle w:val="ListParagraph"/>
        <w:numPr>
          <w:ilvl w:val="0"/>
          <w:numId w:val="2"/>
        </w:numPr>
        <w:spacing w:after="50"/>
      </w:pPr>
      <w:r>
        <w:rPr>
          <w:b w:val="false"/>
          <w:bCs w:val="false"/>
        </w:rPr>
        <w:t xml:space="preserve">Prestar el servicio de software (creación de expediente, plantillas, almacenamiento, notificaciones).</w:t>
      </w:r>
    </w:p>
    <w:p>
      <w:pPr>
        <w:pStyle w:val="ListParagraph"/>
        <w:numPr>
          <w:ilvl w:val="0"/>
          <w:numId w:val="2"/>
        </w:numPr>
        <w:spacing w:after="50"/>
      </w:pPr>
      <w:r>
        <w:rPr>
          <w:b w:val="false"/>
          <w:bCs w:val="false"/>
        </w:rPr>
        <w:t xml:space="preserve">Gestionar la cuenta, autenticación, seguridad, control de acceso y prevención de fraude.</w:t>
      </w:r>
    </w:p>
    <w:p>
      <w:pPr>
        <w:pStyle w:val="ListParagraph"/>
        <w:numPr>
          <w:ilvl w:val="0"/>
          <w:numId w:val="2"/>
        </w:numPr>
        <w:spacing w:after="50"/>
      </w:pPr>
      <w:r>
        <w:rPr>
          <w:b w:val="false"/>
          <w:bCs w:val="false"/>
        </w:rPr>
        <w:t xml:space="preserve">Gestionar la evaluación estructurada de experiencia arrendaticia mediante preguntas cerradas y trazabilidad.</w:t>
      </w:r>
    </w:p>
    <w:p>
      <w:pPr>
        <w:pStyle w:val="ListParagraph"/>
        <w:numPr>
          <w:ilvl w:val="0"/>
          <w:numId w:val="2"/>
        </w:numPr>
        <w:spacing w:after="50"/>
      </w:pPr>
      <w:r>
        <w:rPr>
          <w:b w:val="false"/>
          <w:bCs w:val="false"/>
        </w:rPr>
        <w:t xml:space="preserve">Cumplir obligaciones legales y responder a requerimientos de autoridades competentes.</w:t>
      </w:r>
    </w:p>
    <w:p>
      <w:pPr>
        <w:pStyle w:val="ListParagraph"/>
        <w:numPr>
          <w:ilvl w:val="0"/>
          <w:numId w:val="2"/>
        </w:numPr>
        <w:spacing w:after="50"/>
      </w:pPr>
      <w:r>
        <w:rPr>
          <w:b w:val="false"/>
          <w:bCs w:val="false"/>
        </w:rPr>
        <w:t xml:space="preserve">Mejorar el producto con analítica, auditoría técnica y métricas agregadas cuando sea posible sin identificarlo.</w:t>
      </w:r>
    </w:p>
    <w:p>
      <w:pPr>
        <w:pStyle w:val="ListParagraph"/>
        <w:numPr>
          <w:ilvl w:val="0"/>
          <w:numId w:val="2"/>
        </w:numPr>
        <w:spacing w:after="50"/>
      </w:pPr>
      <w:r>
        <w:rPr>
          <w:b w:val="false"/>
          <w:bCs w:val="false"/>
        </w:rPr>
        <w:t xml:space="preserve">Facturación y cobro de planes, reclamaciones, soporte y gestión comercial con el titular.</w:t>
      </w:r>
    </w:p>
    <w:p>
      <w:pPr>
        <w:pStyle w:val="ListParagraph"/>
        <w:numPr>
          <w:ilvl w:val="0"/>
          <w:numId w:val="2"/>
        </w:numPr>
        <w:spacing w:after="50"/>
      </w:pPr>
      <w:r>
        <w:rPr>
          <w:b w:val="false"/>
          <w:bCs w:val="false"/>
        </w:rPr>
        <w:t xml:space="preserve">Evaluar y habilitar servicios con futuros aliados estratégicos (tecnológicos, financieros, aseguradores u operativos), siempre bajo base legal, principio de necesidad y minimización de datos.</w:t>
      </w:r>
    </w:p>
    <w:p>
      <w:pPr>
        <w:pStyle w:val="Heading2"/>
        <w:spacing w:before="200" w:after="90"/>
      </w:pPr>
      <w:r>
        <w:rPr>
          <w:b/>
          <w:bCs/>
          <w:color w:val="5B21B6"/>
          <w:sz w:val="24"/>
          <w:szCs w:val="24"/>
        </w:rPr>
        <w:t xml:space="preserve">4. Tratamiento de datos de arrendador, arrendatario y codeudor</w:t>
      </w:r>
    </w:p>
    <w:p>
      <w:pPr>
        <w:spacing w:after="100"/>
        <w:jc w:val="both"/>
      </w:pPr>
      <w:r>
        <w:rPr>
          <w:b w:val="false"/>
          <w:bCs w:val="false"/>
        </w:rPr>
        <w:t xml:space="preserve">Quien crea el expediente es responsable de contar con la base legal (por ejemplo, consentimiento, relación contractual o habilitación legal) para cargar datos de otras personas. El codeudor y el arrendatario deben ser informados del tratamiento conforme a esta política y, cuando corresponda, deben aceptarla o manifestar su consentimiento fuera o dentro de la plataforma según el flujo implementado.</w:t>
      </w:r>
    </w:p>
    <w:p>
      <w:pPr>
        <w:pStyle w:val="Heading2"/>
        <w:spacing w:before="200" w:after="90"/>
      </w:pPr>
      <w:r>
        <w:rPr>
          <w:b/>
          <w:bCs/>
          <w:color w:val="5B21B6"/>
          <w:sz w:val="24"/>
          <w:szCs w:val="24"/>
        </w:rPr>
        <w:t xml:space="preserve">5. Tratamiento de documentos</w:t>
      </w:r>
    </w:p>
    <w:p>
      <w:pPr>
        <w:spacing w:after="100"/>
        <w:jc w:val="both"/>
      </w:pPr>
      <w:r>
        <w:rPr>
          <w:b w:val="false"/>
          <w:bCs w:val="false"/>
        </w:rPr>
        <w:t xml:space="preserve">Los documentos (borradores de contrato, anexos, inventarios) se alojan en infraestructura controlada por el responsable o sus encargados. Se aplican medidas razonables de seguridad. El contenido jurídico es responsabilidad de las partes que lo suscriben.</w:t>
      </w:r>
    </w:p>
    <w:p>
      <w:pPr>
        <w:pStyle w:val="Heading2"/>
        <w:spacing w:before="200" w:after="90"/>
      </w:pPr>
      <w:r>
        <w:rPr>
          <w:b/>
          <w:bCs/>
          <w:color w:val="5B21B6"/>
          <w:sz w:val="24"/>
          <w:szCs w:val="24"/>
        </w:rPr>
        <w:t xml:space="preserve">6. Tratamiento de firmas electrónicas</w:t>
      </w:r>
    </w:p>
    <w:p>
      <w:pPr>
        <w:spacing w:after="100"/>
        <w:jc w:val="both"/>
      </w:pPr>
      <w:r>
        <w:rPr>
          <w:b w:val="false"/>
          <w:bCs w:val="false"/>
        </w:rPr>
        <w:t xml:space="preserve">Cuando use la firma electrónica ofrecida por la plataforma, se conservan datos de evidencia (fecha, hora, IP, user agent, identificador de versión y hash del documento) según lo descrito en la Política de firma electrónica, en concordancia con el marco general de mensajes de datos y firmas (Ley 527 de 1999 y normas concordantes).</w:t>
      </w:r>
    </w:p>
    <w:p>
      <w:pPr>
        <w:pStyle w:val="Heading2"/>
        <w:spacing w:before="200" w:after="90"/>
      </w:pPr>
      <w:r>
        <w:rPr>
          <w:b/>
          <w:bCs/>
          <w:color w:val="5B21B6"/>
          <w:sz w:val="24"/>
          <w:szCs w:val="24"/>
        </w:rPr>
        <w:t xml:space="preserve">7. Tratamiento de soportes de pago del canon</w:t>
      </w:r>
    </w:p>
    <w:p>
      <w:pPr>
        <w:spacing w:after="100"/>
        <w:jc w:val="both"/>
      </w:pPr>
      <w:r>
        <w:rPr>
          <w:b w:val="false"/>
          <w:bCs w:val="false"/>
        </w:rPr>
        <w:t xml:space="preserve">Si la funcionalidad permite registrar soportes del pago del arriendo, dichos archivos y metadatos se tratan solo con fines informativos entre las partes y de trazabilidad del expediente, sin que ArriendoSeguro recaude el canon. La conservación y el acceso se rigen por esta política y por los permisos del expediente.</w:t>
      </w:r>
    </w:p>
    <w:p>
      <w:pPr>
        <w:pStyle w:val="Heading2"/>
        <w:spacing w:before="200" w:after="90"/>
      </w:pPr>
      <w:r>
        <w:rPr>
          <w:b/>
          <w:bCs/>
          <w:color w:val="5B21B6"/>
          <w:sz w:val="24"/>
          <w:szCs w:val="24"/>
        </w:rPr>
        <w:t xml:space="preserve">8. Tratamiento de evaluaciones estructuradas</w:t>
      </w:r>
    </w:p>
    <w:p>
      <w:pPr>
        <w:spacing w:after="100"/>
        <w:jc w:val="both"/>
      </w:pPr>
      <w:r>
        <w:rPr>
          <w:b w:val="false"/>
          <w:bCs w:val="false"/>
        </w:rPr>
        <w:t xml:space="preserve">Las respuestas a cuestionarios cerrados sobre la experiencia de arriendo se tratan según la Política de evaluación estructurada: no publicamos listas negras ni permitimos búsqueda pública por cédula.</w:t>
      </w:r>
    </w:p>
    <w:p>
      <w:pPr>
        <w:pStyle w:val="Heading2"/>
        <w:spacing w:before="200" w:after="90"/>
      </w:pPr>
      <w:r>
        <w:rPr>
          <w:b/>
          <w:bCs/>
          <w:color w:val="5B21B6"/>
          <w:sz w:val="24"/>
          <w:szCs w:val="24"/>
        </w:rPr>
        <w:t xml:space="preserve">9. Derechos del titular</w:t>
      </w:r>
    </w:p>
    <w:p>
      <w:pPr>
        <w:pStyle w:val="ListParagraph"/>
        <w:numPr>
          <w:ilvl w:val="0"/>
          <w:numId w:val="2"/>
        </w:numPr>
        <w:spacing w:after="50"/>
      </w:pPr>
      <w:r>
        <w:rPr>
          <w:b w:val="false"/>
          <w:bCs w:val="false"/>
        </w:rPr>
        <w:t xml:space="preserve">Conocer, actualizar y rectificar sus datos.</w:t>
      </w:r>
    </w:p>
    <w:p>
      <w:pPr>
        <w:pStyle w:val="ListParagraph"/>
        <w:numPr>
          <w:ilvl w:val="0"/>
          <w:numId w:val="2"/>
        </w:numPr>
        <w:spacing w:after="50"/>
      </w:pPr>
      <w:r>
        <w:rPr>
          <w:b w:val="false"/>
          <w:bCs w:val="false"/>
        </w:rPr>
        <w:t xml:space="preserve">Solicitar prueba de la autorización cuando sea del caso.</w:t>
      </w:r>
    </w:p>
    <w:p>
      <w:pPr>
        <w:pStyle w:val="ListParagraph"/>
        <w:numPr>
          <w:ilvl w:val="0"/>
          <w:numId w:val="2"/>
        </w:numPr>
        <w:spacing w:after="50"/>
      </w:pPr>
      <w:r>
        <w:rPr>
          <w:b w:val="false"/>
          <w:bCs w:val="false"/>
        </w:rPr>
        <w:t xml:space="preserve">Revocar el consentimiento cuando no exista deber legal o contractual que impida suprimir.</w:t>
      </w:r>
    </w:p>
    <w:p>
      <w:pPr>
        <w:pStyle w:val="ListParagraph"/>
        <w:numPr>
          <w:ilvl w:val="0"/>
          <w:numId w:val="2"/>
        </w:numPr>
        <w:spacing w:after="50"/>
      </w:pPr>
      <w:r>
        <w:rPr>
          <w:b w:val="false"/>
          <w:bCs w:val="false"/>
        </w:rPr>
        <w:t xml:space="preserve">Acceder de forma gratuita a sus datos tratados, en los casos previstos en la ley.</w:t>
      </w:r>
    </w:p>
    <w:p>
      <w:pPr>
        <w:pStyle w:val="ListParagraph"/>
        <w:numPr>
          <w:ilvl w:val="0"/>
          <w:numId w:val="2"/>
        </w:numPr>
        <w:spacing w:after="50"/>
      </w:pPr>
      <w:r>
        <w:rPr>
          <w:b w:val="false"/>
          <w:bCs w:val="false"/>
        </w:rPr>
        <w:t xml:space="preserve">Presentar quejas ante la Superintendencia de Industria y Comercio (SIC) cuando proceda.</w:t>
      </w:r>
    </w:p>
    <w:p>
      <w:pPr>
        <w:pStyle w:val="Heading2"/>
        <w:spacing w:before="200" w:after="90"/>
      </w:pPr>
      <w:r>
        <w:rPr>
          <w:b/>
          <w:bCs/>
          <w:color w:val="5B21B6"/>
          <w:sz w:val="24"/>
          <w:szCs w:val="24"/>
        </w:rPr>
        <w:t xml:space="preserve">10. Canales de consulta y reclamo</w:t>
      </w:r>
    </w:p>
    <w:p>
      <w:pPr>
        <w:spacing w:after="100"/>
        <w:jc w:val="both"/>
      </w:pPr>
      <w:r>
        <w:rPr>
          <w:b w:val="false"/>
          <w:bCs w:val="false"/>
        </w:rPr>
        <w:t xml:space="preserve">Solicitudes de ejercicio de derechos y reclamos: escriba a contacto@arriendoseguro.app o use el formulario publicado en la aplicación. Podrá solicitar información sobre el tratamiento y, si aplica, corrección o supresión cuando no exista deber de conservación legal.</w:t>
      </w:r>
    </w:p>
    <w:p>
      <w:pPr>
        <w:pStyle w:val="Heading2"/>
        <w:spacing w:before="200" w:after="90"/>
      </w:pPr>
      <w:r>
        <w:rPr>
          <w:b/>
          <w:bCs/>
          <w:color w:val="5B21B6"/>
          <w:sz w:val="24"/>
          <w:szCs w:val="24"/>
        </w:rPr>
        <w:t xml:space="preserve">11. Conservación</w:t>
      </w:r>
    </w:p>
    <w:p>
      <w:pPr>
        <w:spacing w:after="100"/>
        <w:jc w:val="both"/>
      </w:pPr>
      <w:r>
        <w:rPr>
          <w:b w:val="false"/>
          <w:bCs w:val="false"/>
        </w:rPr>
        <w:t xml:space="preserve">Los datos se conservan mientras exista relación contractual o legal con usted, y después durante los plazos necesarios para defensa de derechos, auditoría o cumplimiento de obligaciones legales (por ejemplo, tributarias o probatorias), adoptando supresión o anonimización cuando corresponda.</w:t>
      </w:r>
    </w:p>
    <w:p>
      <w:pPr>
        <w:pStyle w:val="Heading2"/>
        <w:spacing w:before="200" w:after="90"/>
      </w:pPr>
      <w:r>
        <w:rPr>
          <w:b/>
          <w:bCs/>
          <w:color w:val="5B21B6"/>
          <w:sz w:val="24"/>
          <w:szCs w:val="24"/>
        </w:rPr>
        <w:t xml:space="preserve">12. Seguridad</w:t>
      </w:r>
    </w:p>
    <w:p>
      <w:pPr>
        <w:spacing w:after="100"/>
        <w:jc w:val="both"/>
      </w:pPr>
      <w:r>
        <w:rPr>
          <w:b w:val="false"/>
          <w:bCs w:val="false"/>
        </w:rPr>
        <w:t xml:space="preserve">Aplicamos medidas técnicas y organizativas razonables (cifrado en tránsito cuando proceda, control de accesos, copias de seguridad). Ningún sistema es invulnerable; le recomendamos usar contraseñas robustas y no compartir su cuenta.</w:t>
      </w:r>
    </w:p>
    <w:p>
      <w:pPr>
        <w:pStyle w:val="Heading2"/>
        <w:spacing w:before="200" w:after="90"/>
      </w:pPr>
      <w:r>
        <w:rPr>
          <w:b/>
          <w:bCs/>
          <w:color w:val="5B21B6"/>
          <w:sz w:val="24"/>
          <w:szCs w:val="24"/>
        </w:rPr>
        <w:t xml:space="preserve">13. Transferencia y transmisión a proveedores y aliados estratégicos</w:t>
      </w:r>
    </w:p>
    <w:p>
      <w:pPr>
        <w:spacing w:after="100"/>
        <w:jc w:val="both"/>
      </w:pPr>
      <w:r>
        <w:rPr>
          <w:b w:val="false"/>
          <w:bCs w:val="false"/>
        </w:rPr>
        <w:t xml:space="preserve">Podemos encargar el tratamiento a proveedores de nube, autenticación, correo electrónico, pasarela de pagos, soporte o seguridad, con contratos de encargo y deberes de confidencialidad conforme a la ley. Además, para funciones presentes o futuras del producto, podremos compartir datos con aliados estratégicos estrictamente necesarios (por ejemplo, firma electrónica, validaciones, cobertura o servicios complementarios), siempre que exista base legal, finalidad compatible y medidas de seguridad razonables. No vendemos bases de datos personales como activo autónomo. Cuando haya proveedores o aliados en el exterior, aplicarán reglas de transferencia internacional y se informará la categoría de destinatarios en los términos exigidos por la normativa colombiana.</w:t>
      </w:r>
    </w:p>
    <w:p>
      <w:pPr>
        <w:pStyle w:val="Heading2"/>
        <w:spacing w:before="200" w:after="90"/>
      </w:pPr>
      <w:r>
        <w:rPr>
          <w:b/>
          <w:bCs/>
          <w:color w:val="5B21B6"/>
          <w:sz w:val="24"/>
          <w:szCs w:val="24"/>
        </w:rPr>
        <w:t xml:space="preserve">14. Contacto</w:t>
      </w:r>
    </w:p>
    <w:p>
      <w:pPr>
        <w:spacing w:after="100"/>
        <w:jc w:val="both"/>
      </w:pPr>
      <w:r>
        <w:rPr>
          <w:b w:val="false"/>
          <w:bCs w:val="false"/>
        </w:rPr>
        <w:t xml:space="preserve">Para ejercicio de derechos y preguntas sobre privacidad, escriba a contacto@arriendoseguro.app o utilice los canales oficiales publicados en la aplicación. Consulte también el Aviso de privacidad (resumen).</w:t>
      </w:r>
    </w:p>
    <w:p>
      <w:r>
        <w:br w:type="page"/>
      </w:r>
    </w:p>
    <w:p>
      <w:pPr>
        <w:pStyle w:val="Heading1"/>
        <w:spacing w:before="260" w:after="120"/>
      </w:pPr>
      <w:r>
        <w:rPr>
          <w:b/>
          <w:bCs/>
          <w:color w:val="0F172A"/>
          <w:sz w:val="28"/>
          <w:szCs w:val="28"/>
        </w:rPr>
        <w:t xml:space="preserve">3. Aviso de privacidad</w:t>
      </w:r>
    </w:p>
    <w:p>
      <w:pPr>
        <w:spacing w:after="100"/>
      </w:pPr>
      <w:r>
        <w:rPr>
          <w:color w:val="475569"/>
          <w:sz w:val="18"/>
          <w:szCs w:val="18"/>
        </w:rPr>
        <w:t xml:space="preserve">Documento AVISO-PRIV-2026.2 · Publicado 2026-08-11 · Consentimiento de registro vigente: CONSENT-2026.1 (2026-05-11).</w:t>
      </w:r>
    </w:p>
    <w:p>
      <w:pPr>
        <w:pStyle w:val="Heading2"/>
        <w:spacing w:before="200" w:after="90"/>
      </w:pPr>
      <w:r>
        <w:rPr>
          <w:b/>
          <w:bCs/>
          <w:color w:val="5B21B6"/>
          <w:sz w:val="24"/>
          <w:szCs w:val="24"/>
        </w:rPr>
        <w:t xml:space="preserve">1. Responsable del tratamiento</w:t>
      </w:r>
    </w:p>
    <w:p>
      <w:pPr>
        <w:spacing w:after="100"/>
        <w:jc w:val="both"/>
      </w:pPr>
      <w:r>
        <w:rPr>
          <w:b w:val="false"/>
          <w:bCs w:val="false"/>
        </w:rPr>
        <w:t xml:space="preserve">El responsable del tratamiento de datos personales a través de la plataforma es LOTIC, operador de la plataforma ArriendoSeguro, con domicilio en Medellín (Colombia), en adelante «nosotros» o «la plataforma», según corresponda al contexto. Canal de atención y de ejercicio de derechos de habeas data: contacto@arriendoseguro.app.</w:t>
      </w:r>
    </w:p>
    <w:p>
      <w:pPr>
        <w:pStyle w:val="Heading2"/>
        <w:spacing w:before="200" w:after="90"/>
      </w:pPr>
      <w:r>
        <w:rPr>
          <w:b/>
          <w:bCs/>
          <w:color w:val="5B21B6"/>
          <w:sz w:val="24"/>
          <w:szCs w:val="24"/>
        </w:rPr>
        <w:t xml:space="preserve">2. Finalidades del tratamiento</w:t>
      </w:r>
    </w:p>
    <w:p>
      <w:pPr>
        <w:pStyle w:val="ListParagraph"/>
        <w:numPr>
          <w:ilvl w:val="0"/>
          <w:numId w:val="2"/>
        </w:numPr>
        <w:spacing w:after="50"/>
      </w:pPr>
      <w:r>
        <w:rPr>
          <w:b w:val="false"/>
          <w:bCs w:val="false"/>
        </w:rPr>
        <w:t xml:space="preserve">Crear y administrar la cuenta del usuario y el estado de acceso (demo, Plan Plus u otros productos).</w:t>
      </w:r>
    </w:p>
    <w:p>
      <w:pPr>
        <w:pStyle w:val="ListParagraph"/>
        <w:numPr>
          <w:ilvl w:val="0"/>
          <w:numId w:val="2"/>
        </w:numPr>
        <w:spacing w:after="50"/>
      </w:pPr>
      <w:r>
        <w:rPr>
          <w:b w:val="false"/>
          <w:bCs w:val="false"/>
        </w:rPr>
        <w:t xml:space="preserve">Gestionar expedientes de arriendo: datos de las partes, inmueble, términos, servicios, codeudor cuando aplique, inventario, actas, registro informativo de pagos y comunicaciones relacionadas.</w:t>
      </w:r>
    </w:p>
    <w:p>
      <w:pPr>
        <w:pStyle w:val="ListParagraph"/>
        <w:numPr>
          <w:ilvl w:val="0"/>
          <w:numId w:val="2"/>
        </w:numPr>
        <w:spacing w:after="50"/>
      </w:pPr>
      <w:r>
        <w:rPr>
          <w:b w:val="false"/>
          <w:bCs w:val="false"/>
        </w:rPr>
        <w:t xml:space="preserve">Emitir y conservar documentos y anexos (PDF/HTML), evidencia de firma electrónica simple y trazas operativas.</w:t>
      </w:r>
    </w:p>
    <w:p>
      <w:pPr>
        <w:pStyle w:val="ListParagraph"/>
        <w:numPr>
          <w:ilvl w:val="0"/>
          <w:numId w:val="2"/>
        </w:numPr>
        <w:spacing w:after="50"/>
      </w:pPr>
      <w:r>
        <w:rPr>
          <w:b w:val="false"/>
          <w:bCs w:val="false"/>
        </w:rPr>
        <w:t xml:space="preserve">Prestar soporte, seguridad, prevención de fraude y cumplimiento de obligaciones legales aplicables en Colombia.</w:t>
      </w:r>
    </w:p>
    <w:p>
      <w:pPr>
        <w:pStyle w:val="ListParagraph"/>
        <w:numPr>
          <w:ilvl w:val="0"/>
          <w:numId w:val="2"/>
        </w:numPr>
        <w:spacing w:after="50"/>
      </w:pPr>
      <w:r>
        <w:rPr>
          <w:b w:val="false"/>
          <w:bCs w:val="false"/>
        </w:rPr>
        <w:t xml:space="preserve">Mejorar la experiencia mediante encuestas o evaluaciones estructuradas, con base en interés legítimo o consentimiento cuando corresponda.</w:t>
      </w:r>
    </w:p>
    <w:p>
      <w:pPr>
        <w:pStyle w:val="Heading2"/>
        <w:spacing w:before="200" w:after="90"/>
      </w:pPr>
      <w:r>
        <w:rPr>
          <w:b/>
          <w:bCs/>
          <w:color w:val="5B21B6"/>
          <w:sz w:val="24"/>
          <w:szCs w:val="24"/>
        </w:rPr>
        <w:t xml:space="preserve">3. Categorías de datos</w:t>
      </w:r>
    </w:p>
    <w:p>
      <w:pPr>
        <w:spacing w:after="100"/>
        <w:jc w:val="both"/>
      </w:pPr>
      <w:r>
        <w:rPr>
          <w:b w:val="false"/>
          <w:bCs w:val="false"/>
        </w:rPr>
        <w:t xml:space="preserve">Podemos tratar identificación y contacto de las partes, datos del inmueble, información financiera y laboral declarada en formularios, archivos que cargues (por ejemplo soportes del codeudor o documentos de expediente), datos técnicos de conexión asociados a firmas, y datos de facturación o pago de la suscripción tratados por proveedores de pago cuando aplique.</w:t>
      </w:r>
    </w:p>
    <w:p>
      <w:pPr>
        <w:pStyle w:val="Heading2"/>
        <w:spacing w:before="200" w:after="90"/>
      </w:pPr>
      <w:r>
        <w:rPr>
          <w:b/>
          <w:bCs/>
          <w:color w:val="5B21B6"/>
          <w:sz w:val="24"/>
          <w:szCs w:val="24"/>
        </w:rPr>
        <w:t xml:space="preserve">4. Encargados del tratamiento (proveedores)</w:t>
      </w:r>
    </w:p>
    <w:p>
      <w:pPr>
        <w:spacing w:after="100"/>
        <w:jc w:val="both"/>
      </w:pPr>
      <w:r>
        <w:rPr>
          <w:b w:val="false"/>
          <w:bCs w:val="false"/>
        </w:rPr>
        <w:t xml:space="preserve">Para operar utilizamos proveedores que tratan datos en nuestro nombre, entre ellos: Google Cloud / Firebase (autenticación, base de datos Firestore, almacenamiento de archivos), Vercel (despliegue e infraestructura serverless, con proveedores subyacentes), Resend (correo transaccional), Upstash (control de tasa/anti-abuso de formularios públicos; trata identificadores técnicos como la dirección IP de forma temporal) y, en formularios públicos, Cloudflare Turnstile (verificación anti-bot orientada a no conservar datos personales de contacto). Cuando habilitemos publicidad o medición, Google (Analytics y AdSense) podrá tratar datos según tu consentimiento de cookies. Supabase figura como proveedor reservado para fases futuras si se incorpora al stack; en ese caso actualizaremos este aviso.</w:t>
      </w:r>
    </w:p>
    <w:p>
      <w:pPr>
        <w:pStyle w:val="Heading2"/>
        <w:spacing w:before="200" w:after="90"/>
      </w:pPr>
      <w:r>
        <w:rPr>
          <w:b/>
          <w:bCs/>
          <w:color w:val="5B21B6"/>
          <w:sz w:val="24"/>
          <w:szCs w:val="24"/>
        </w:rPr>
        <w:t xml:space="preserve">5. Transferencia internacional de datos</w:t>
      </w:r>
    </w:p>
    <w:p>
      <w:pPr>
        <w:spacing w:after="100"/>
        <w:jc w:val="both"/>
      </w:pPr>
      <w:r>
        <w:rPr>
          <w:b w:val="false"/>
          <w:bCs w:val="false"/>
        </w:rPr>
        <w:t xml:space="preserve">Los servidores de los proveedores mencionados pueden estar ubicados fuera de Colombia (por ejemplo en Estados Unidos). La transferencia internacional se realiza conforme al artículo 25 del Decreto 1377 de 2013 y a la Circular Externa 02 de 2015 de la Superintendencia de Industria y Comercio, cuando corresponda, y con las autorizaciones o consentimientos exigidos por la Ley 1581 de 2012. Al aceptar el consentimiento de registro o el tratamiento en formularios, puedes autorizar expresamente dichas transferencias cuando la norma lo exija.</w:t>
      </w:r>
    </w:p>
    <w:p>
      <w:pPr>
        <w:pStyle w:val="Heading2"/>
        <w:spacing w:before="200" w:after="90"/>
      </w:pPr>
      <w:r>
        <w:rPr>
          <w:b/>
          <w:bCs/>
          <w:color w:val="5B21B6"/>
          <w:sz w:val="24"/>
          <w:szCs w:val="24"/>
        </w:rPr>
        <w:t xml:space="preserve">6. Derechos del titular (Ley 1581 de 2012, artículo 8)</w:t>
      </w:r>
    </w:p>
    <w:p>
      <w:pPr>
        <w:pStyle w:val="ListParagraph"/>
        <w:numPr>
          <w:ilvl w:val="0"/>
          <w:numId w:val="3"/>
        </w:numPr>
        <w:spacing w:after="50"/>
      </w:pPr>
      <w:r>
        <w:rPr>
          <w:b w:val="false"/>
          <w:bCs w:val="false"/>
        </w:rPr>
        <w:t xml:space="preserve">Acceder a tus datos personales que obren en nuestra base, salvo excepciones legales.</w:t>
      </w:r>
    </w:p>
    <w:p>
      <w:pPr>
        <w:pStyle w:val="ListParagraph"/>
        <w:numPr>
          <w:ilvl w:val="0"/>
          <w:numId w:val="3"/>
        </w:numPr>
        <w:spacing w:after="50"/>
      </w:pPr>
      <w:r>
        <w:rPr>
          <w:b w:val="false"/>
          <w:bCs w:val="false"/>
        </w:rPr>
        <w:t xml:space="preserve">Conocer, actualizar y rectificar tus datos frente a datos parciales, inexactos, incompletos, divididos, que induzcan a error o cuyo tratamiento esté prohibido o no haya sido autorizado.</w:t>
      </w:r>
    </w:p>
    <w:p>
      <w:pPr>
        <w:pStyle w:val="ListParagraph"/>
        <w:numPr>
          <w:ilvl w:val="0"/>
          <w:numId w:val="3"/>
        </w:numPr>
        <w:spacing w:after="50"/>
      </w:pPr>
      <w:r>
        <w:rPr>
          <w:b w:val="false"/>
          <w:bCs w:val="false"/>
        </w:rPr>
        <w:t xml:space="preserve">Solicitar prueba del consentimiento otorgado, salvo cuando la ley dispense consentimiento.</w:t>
      </w:r>
    </w:p>
    <w:p>
      <w:pPr>
        <w:pStyle w:val="ListParagraph"/>
        <w:numPr>
          <w:ilvl w:val="0"/>
          <w:numId w:val="3"/>
        </w:numPr>
        <w:spacing w:after="50"/>
      </w:pPr>
      <w:r>
        <w:rPr>
          <w:b w:val="false"/>
          <w:bCs w:val="false"/>
        </w:rPr>
        <w:t xml:space="preserve">Presentar ante la Superintendencia de Industria y Comercio (SIC) quejas por infracciones a lo dispuesto en la ley y el decreto reglamentario.</w:t>
      </w:r>
    </w:p>
    <w:p>
      <w:pPr>
        <w:pStyle w:val="ListParagraph"/>
        <w:numPr>
          <w:ilvl w:val="0"/>
          <w:numId w:val="3"/>
        </w:numPr>
        <w:spacing w:after="50"/>
      </w:pPr>
      <w:r>
        <w:rPr>
          <w:b w:val="false"/>
          <w:bCs w:val="false"/>
        </w:rPr>
        <w:t xml:space="preserve">Revocar el consentimiento y/o solicitar la supresión del dato cuando en el tratamiento no se respeten los principios, derechos y garantías constitucionales y legales, salvo deber legal o contractual de conservación.</w:t>
      </w:r>
    </w:p>
    <w:p>
      <w:pPr>
        <w:pStyle w:val="ListParagraph"/>
        <w:numPr>
          <w:ilvl w:val="0"/>
          <w:numId w:val="3"/>
        </w:numPr>
        <w:spacing w:after="50"/>
      </w:pPr>
      <w:r>
        <w:rPr>
          <w:b w:val="false"/>
          <w:bCs w:val="false"/>
        </w:rPr>
        <w:t xml:space="preserve">Solicitar, una vez acreditada tu identidad, que te informemos sobre el uso dado a tus datos.</w:t>
      </w:r>
    </w:p>
    <w:p>
      <w:pPr>
        <w:spacing w:after="100"/>
      </w:pPr>
      <w:r>
        <w:rPr>
          <w:color w:val="475569"/>
          <w:sz w:val="18"/>
          <w:szCs w:val="18"/>
        </w:rPr>
        <w:t xml:space="preserve">Los plazos orientativos para responder consultas (hasta diez días hábiles) y reclamos (hasta quince días hábiles) pueden ajustarse según carga operativa y complejidad; en todo caso daremos acuse de recibo cuando proceda.</w:t>
      </w:r>
    </w:p>
    <w:p>
      <w:pPr>
        <w:pStyle w:val="Heading2"/>
        <w:spacing w:before="200" w:after="90"/>
      </w:pPr>
      <w:r>
        <w:rPr>
          <w:b/>
          <w:bCs/>
          <w:color w:val="5B21B6"/>
          <w:sz w:val="24"/>
          <w:szCs w:val="24"/>
        </w:rPr>
        <w:t xml:space="preserve">7. Conservación y seguridad</w:t>
      </w:r>
    </w:p>
    <w:p>
      <w:pPr>
        <w:spacing w:after="100"/>
        <w:jc w:val="both"/>
      </w:pPr>
      <w:r>
        <w:rPr>
          <w:b w:val="false"/>
          <w:bCs w:val="false"/>
        </w:rPr>
        <w:t xml:space="preserve">Conservamos la información el tiempo necesario para las finalidades descritas y para cumplir obligaciones legales, contables o probatorias, en particular cuando existan contratos firmados o trazas de firma electrónica. Aplicamos medidas técnicas y organizativas razonables (control de acceso, cifrado en tránsito cuando el proveedor lo ofrece, minimización y registro de auditoría en eventos sensibles).</w:t>
      </w:r>
    </w:p>
    <w:p>
      <w:pPr>
        <w:pStyle w:val="Heading2"/>
        <w:spacing w:before="200" w:after="90"/>
      </w:pPr>
      <w:r>
        <w:rPr>
          <w:b/>
          <w:bCs/>
          <w:color w:val="5B21B6"/>
          <w:sz w:val="24"/>
          <w:szCs w:val="24"/>
        </w:rPr>
        <w:t xml:space="preserve">8. Cómo ejercer tus derechos (autoservicio) o eliminar tu cuenta</w:t>
      </w:r>
    </w:p>
    <w:p>
      <w:pPr>
        <w:spacing w:after="100"/>
        <w:jc w:val="both"/>
      </w:pPr>
      <w:r>
        <w:rPr>
          <w:b w:val="false"/>
          <w:bCs w:val="false"/>
        </w:rPr>
        <w:t xml:space="preserve">Con tu sesión iniciada, desde el menú del usuario tienes la opción «Mis datos (Habeas Data)», donde ejerces tus derechos de forma automática, sin escribir correos ni esperar: (i) derecho de acceso — generar y descargar (CSV/JSON) una copia de los datos personales que tenemos sobre ti; (ii) derecho de rectificación/actualización — corregir tu nombre visible y tu teléfono de contacto al instante (los datos de un contrato específico se corrigen dentro del contrato mientras es un borrador; los contratos firmados se conservan por ley); y (iii) derecho de supresión — eliminar tu cuenta (ruta «Eliminar mi cuenta») cuando no existan bloqueos por contratos firmados en los que hayas participado. Si aplica retención legal o para revocar consentimientos, podrás canalizarlo vía contacto@arriendoseguro.app.</w:t>
      </w:r>
    </w:p>
    <w:p>
      <w:pPr>
        <w:pStyle w:val="Heading2"/>
        <w:spacing w:before="200" w:after="90"/>
      </w:pPr>
      <w:r>
        <w:rPr>
          <w:b/>
          <w:bCs/>
          <w:color w:val="5B21B6"/>
          <w:sz w:val="24"/>
          <w:szCs w:val="24"/>
        </w:rPr>
        <w:t xml:space="preserve">9. Cookies y tecnologías similares</w:t>
      </w:r>
    </w:p>
    <w:p>
      <w:pPr>
        <w:spacing w:after="100"/>
        <w:jc w:val="both"/>
      </w:pPr>
      <w:r>
        <w:rPr>
          <w:b w:val="false"/>
          <w:bCs w:val="false"/>
        </w:rPr>
        <w:t xml:space="preserve">Usamos cookies necesarias para el funcionamiento del sitio y, solo con tu consentimiento, cookies de analítica (Google Analytics 4) y de publicidad (Google AdSense, cuando se active). Gestionamos el consentimiento con el modo de consentimiento de Google (Consent Mode v2): por defecto, analítica y publicidad quedan denegadas hasta que las autorices en el banner. Puedes cambiar tu decisión en cualquier momento desde «Preferencias de cookies» en el pie de página.</w:t>
      </w:r>
    </w:p>
    <w:p>
      <w:pPr>
        <w:pStyle w:val="Heading3"/>
        <w:spacing w:before="150" w:after="70"/>
      </w:pPr>
      <w:r>
        <w:rPr>
          <w:b/>
          <w:bCs/>
          <w:color w:val="334155"/>
          <w:sz w:val="21"/>
          <w:szCs w:val="21"/>
        </w:rPr>
        <w:t xml:space="preserve">Canal Habeas Data</w:t>
      </w:r>
    </w:p>
    <w:p>
      <w:pPr>
        <w:spacing w:after="100"/>
        <w:jc w:val="both"/>
      </w:pPr>
      <w:r>
        <w:rPr>
          <w:b w:val="false"/>
          <w:bCs w:val="false"/>
        </w:rPr>
        <w:t xml:space="preserve">Consultas y solicitudes sobre datos personales: contacto@arriendoseguro.app.</w:t>
      </w:r>
    </w:p>
    <w:p>
      <w:r>
        <w:br w:type="page"/>
      </w:r>
    </w:p>
    <w:p>
      <w:pPr>
        <w:pStyle w:val="Heading1"/>
        <w:spacing w:before="260" w:after="120"/>
      </w:pPr>
      <w:r>
        <w:rPr>
          <w:b/>
          <w:bCs/>
          <w:color w:val="0F172A"/>
          <w:sz w:val="28"/>
          <w:szCs w:val="28"/>
        </w:rPr>
        <w:t xml:space="preserve">4. Política de cookies</w:t>
      </w:r>
    </w:p>
    <w:p>
      <w:pPr>
        <w:spacing w:after="100"/>
        <w:jc w:val="both"/>
      </w:pPr>
      <w:r>
        <w:rPr>
          <w:b w:val="false"/>
          <w:bCs w:val="false"/>
        </w:rPr>
        <w:t xml:space="preserve">Esta página explica qué cookies y tecnologías similares usa ArriendoSeguro y cómo puedes controlar tu consentimiento. Complementa el aviso de privacidad y el tratamiento de datos (Ley 1581 de 2012).</w:t>
      </w:r>
    </w:p>
    <w:p>
      <w:pPr>
        <w:pStyle w:val="Heading2"/>
        <w:spacing w:before="200" w:after="90"/>
      </w:pPr>
      <w:r>
        <w:rPr>
          <w:b/>
          <w:bCs/>
          <w:color w:val="5B21B6"/>
          <w:sz w:val="24"/>
          <w:szCs w:val="24"/>
        </w:rPr>
        <w:t xml:space="preserve">¿Qué es una cookie?</w:t>
      </w:r>
    </w:p>
    <w:p>
      <w:pPr>
        <w:spacing w:after="100"/>
        <w:jc w:val="both"/>
      </w:pPr>
      <w:r>
        <w:rPr>
          <w:b w:val="false"/>
          <w:bCs w:val="false"/>
        </w:rPr>
        <w:t xml:space="preserve">Una cookie es un pequeño archivo que se guarda en tu dispositivo cuando visitas un sitio. Sirve para recordar preferencias, mantener tu sesión o medir el uso. También usamos almacenamiento local del navegador para recordar tu decisión sobre cookies.</w:t>
      </w:r>
    </w:p>
    <w:p>
      <w:pPr>
        <w:pStyle w:val="Heading2"/>
        <w:spacing w:before="200" w:after="90"/>
      </w:pPr>
      <w:r>
        <w:rPr>
          <w:b/>
          <w:bCs/>
          <w:color w:val="5B21B6"/>
          <w:sz w:val="24"/>
          <w:szCs w:val="24"/>
        </w:rPr>
        <w:t xml:space="preserve">Categorías que usamos</w:t>
      </w:r>
    </w:p>
    <w:p>
      <w:pPr>
        <w:pStyle w:val="ListParagraph"/>
        <w:numPr>
          <w:ilvl w:val="0"/>
          <w:numId w:val="2"/>
        </w:numPr>
        <w:spacing w:after="50"/>
      </w:pPr>
      <w:r>
        <w:rPr>
          <w:b/>
          <w:bCs/>
        </w:rPr>
        <w:t xml:space="preserve">Necesarias:</w:t>
      </w:r>
      <w:r>
        <w:rPr>
          <w:b w:val="false"/>
          <w:bCs w:val="false"/>
        </w:rPr>
        <w:t xml:space="preserve"> inicio de sesión, seguridad, control anti-bot (Turnstile) y funcionamiento básico. No requieren consentimiento (imprescindibles).</w:t>
      </w:r>
    </w:p>
    <w:p>
      <w:pPr>
        <w:pStyle w:val="ListParagraph"/>
        <w:numPr>
          <w:ilvl w:val="0"/>
          <w:numId w:val="2"/>
        </w:numPr>
        <w:spacing w:after="50"/>
      </w:pPr>
      <w:r>
        <w:rPr>
          <w:b/>
          <w:bCs/>
        </w:rPr>
        <w:t xml:space="preserve">Analítica:</w:t>
      </w:r>
      <w:r>
        <w:rPr>
          <w:b w:val="false"/>
          <w:bCs w:val="false"/>
        </w:rPr>
        <w:t xml:space="preserve"> Google Analytics 4, medición agregada del uso para mejorar el producto. Solo si las aceptas.</w:t>
      </w:r>
    </w:p>
    <w:p>
      <w:pPr>
        <w:pStyle w:val="ListParagraph"/>
        <w:numPr>
          <w:ilvl w:val="0"/>
          <w:numId w:val="2"/>
        </w:numPr>
        <w:spacing w:after="50"/>
      </w:pPr>
      <w:r>
        <w:rPr>
          <w:b/>
          <w:bCs/>
        </w:rPr>
        <w:t xml:space="preserve">Publicidad:</w:t>
      </w:r>
      <w:r>
        <w:rPr>
          <w:b w:val="false"/>
          <w:bCs w:val="false"/>
        </w:rPr>
        <w:t xml:space="preserve"> Google AdSense (cuando esté activo), mostrar y medir anuncios; pueden no estar activas todavía. Solo si las aceptas.</w:t>
      </w:r>
    </w:p>
    <w:p>
      <w:pPr>
        <w:pStyle w:val="Heading2"/>
        <w:spacing w:before="200" w:after="90"/>
      </w:pPr>
      <w:r>
        <w:rPr>
          <w:b/>
          <w:bCs/>
          <w:color w:val="5B21B6"/>
          <w:sz w:val="24"/>
          <w:szCs w:val="24"/>
        </w:rPr>
        <w:t xml:space="preserve">Cómo gestionamos tu consentimiento</w:t>
      </w:r>
    </w:p>
    <w:p>
      <w:pPr>
        <w:spacing w:after="100"/>
        <w:jc w:val="both"/>
      </w:pPr>
      <w:r>
        <w:rPr>
          <w:b w:val="false"/>
          <w:bCs w:val="false"/>
        </w:rPr>
        <w:t xml:space="preserve">Usamos el modo de consentimiento de Google (Consent Mode v2): por defecto, la analítica y la publicidad quedan denegadas hasta que tú las autorices en el banner. Puedes cambiar tu decisión en cualquier momento desde el enlace «Preferencias de cookies» del pie de página, o borrando los datos del sitio en tu navegador. Las cookies necesarias no se pueden desactivar porque sin ellas el sitio no funciona.</w:t>
      </w:r>
    </w:p>
    <w:p>
      <w:pPr>
        <w:pStyle w:val="Heading2"/>
        <w:spacing w:before="200" w:after="90"/>
      </w:pPr>
      <w:r>
        <w:rPr>
          <w:b/>
          <w:bCs/>
          <w:color w:val="5B21B6"/>
          <w:sz w:val="24"/>
          <w:szCs w:val="24"/>
        </w:rPr>
        <w:t xml:space="preserve">Terceros</w:t>
      </w:r>
    </w:p>
    <w:p>
      <w:pPr>
        <w:spacing w:after="100"/>
        <w:jc w:val="both"/>
      </w:pPr>
      <w:r>
        <w:rPr>
          <w:b w:val="false"/>
          <w:bCs w:val="false"/>
        </w:rPr>
        <w:t xml:space="preserve">Cuando los autorizas, pueden instalarse cookies de Google (Analytics y, en el futuro, AdSense). Esos proveedores tratan los datos según sus propias políticas. Revisa las políticas de privacidad de Google para más detalle.</w:t>
      </w:r>
    </w:p>
    <w:p>
      <w:r>
        <w:br w:type="page"/>
      </w:r>
    </w:p>
    <w:p>
      <w:pPr>
        <w:pStyle w:val="Heading1"/>
        <w:spacing w:before="260" w:after="120"/>
      </w:pPr>
      <w:r>
        <w:rPr>
          <w:b/>
          <w:bCs/>
          <w:color w:val="0F172A"/>
          <w:sz w:val="28"/>
          <w:szCs w:val="28"/>
        </w:rPr>
        <w:t xml:space="preserve">5. Política de firma electrónica</w:t>
      </w:r>
    </w:p>
    <w:p>
      <w:pPr>
        <w:spacing w:after="100"/>
      </w:pPr>
      <w:r>
        <w:rPr>
          <w:color w:val="475569"/>
          <w:sz w:val="18"/>
          <w:szCs w:val="18"/>
        </w:rPr>
        <w:t xml:space="preserve">Marco general: Ley 527 de 1999 (mensajes de datos y certificados digitales) y normas concordantes. No sustituye asesoría sobre el tipo de firma exigible en cada acto.</w:t>
      </w:r>
    </w:p>
    <w:p>
      <w:pPr>
        <w:pStyle w:val="Heading2"/>
        <w:spacing w:before="200" w:after="90"/>
      </w:pPr>
      <w:r>
        <w:rPr>
          <w:b/>
          <w:bCs/>
          <w:color w:val="5B21B6"/>
          <w:sz w:val="24"/>
          <w:szCs w:val="24"/>
        </w:rPr>
        <w:t xml:space="preserve">1. Aceptación del mecanismo</w:t>
      </w:r>
    </w:p>
    <w:p>
      <w:pPr>
        <w:spacing w:after="100"/>
        <w:jc w:val="both"/>
      </w:pPr>
      <w:r>
        <w:rPr>
          <w:b w:val="false"/>
          <w:bCs w:val="false"/>
        </w:rPr>
        <w:t xml:space="preserve">Al usar la función de firma ofrecida por ArriendoSeguro, usted declara haber leído esta política y aceptar un mecanismo de firma electrónica acorde a las capacidades del producto (por ejemplo, firma con enlace autenticado y registro de evidencias), sin que la plataforma actúe como notario ni como proveedor de certificación digital cualificada, salvo integración futura expresamente indicada.</w:t>
      </w:r>
    </w:p>
    <w:p>
      <w:pPr>
        <w:pStyle w:val="Heading2"/>
        <w:spacing w:before="200" w:after="90"/>
      </w:pPr>
      <w:r>
        <w:rPr>
          <w:b/>
          <w:bCs/>
          <w:color w:val="5B21B6"/>
          <w:sz w:val="24"/>
          <w:szCs w:val="24"/>
        </w:rPr>
        <w:t xml:space="preserve">2. Uso de enlace seguro</w:t>
      </w:r>
    </w:p>
    <w:p>
      <w:pPr>
        <w:spacing w:after="100"/>
        <w:jc w:val="both"/>
      </w:pPr>
      <w:r>
        <w:rPr>
          <w:b w:val="false"/>
          <w:bCs w:val="false"/>
        </w:rPr>
        <w:t xml:space="preserve">Las invitaciones a firmar se envían mediante enlace bajo conexión cifrada (HTTPS). El enlace es personal y no debe compartirse con terceros no autorizados. La caducidad del enlace y los reintentos se configuran por razones de seguridad.</w:t>
      </w:r>
    </w:p>
    <w:p>
      <w:pPr>
        <w:pStyle w:val="Heading2"/>
        <w:spacing w:before="200" w:after="90"/>
      </w:pPr>
      <w:r>
        <w:rPr>
          <w:b/>
          <w:bCs/>
          <w:color w:val="5B21B6"/>
          <w:sz w:val="24"/>
          <w:szCs w:val="24"/>
        </w:rPr>
        <w:t xml:space="preserve">3. Registro de fecha, hora, IP, user agent y hash</w:t>
      </w:r>
    </w:p>
    <w:p>
      <w:pPr>
        <w:spacing w:after="100"/>
        <w:jc w:val="both"/>
      </w:pPr>
      <w:r>
        <w:rPr>
          <w:b w:val="false"/>
          <w:bCs w:val="false"/>
        </w:rPr>
        <w:t xml:space="preserve">Para fines de trazabilidad y evidencia, el sistema puede registrar, entre otros: fecha y hora del acto, dirección IP de origen, user agent del navegador o dispositivo, identificador de la versión del documento y resumen criptográfico (hash) del contenido firmado. Estos datos forman parte del expediente y se tratan según la Política de tratamiento de datos personales.</w:t>
      </w:r>
    </w:p>
    <w:p>
      <w:pPr>
        <w:pStyle w:val="Heading2"/>
        <w:spacing w:before="200" w:after="90"/>
      </w:pPr>
      <w:r>
        <w:rPr>
          <w:b/>
          <w:bCs/>
          <w:color w:val="5B21B6"/>
          <w:sz w:val="24"/>
          <w:szCs w:val="24"/>
        </w:rPr>
        <w:t xml:space="preserve">4. Firma asociada a versión específica del contrato</w:t>
      </w:r>
    </w:p>
    <w:p>
      <w:pPr>
        <w:spacing w:after="100"/>
        <w:jc w:val="both"/>
      </w:pPr>
      <w:r>
        <w:rPr>
          <w:b w:val="false"/>
          <w:bCs w:val="false"/>
        </w:rPr>
        <w:t xml:space="preserve">Cada firma queda ligada a una versión concreta del documento identificada en el sistema. Si el contenido cambia después de firmado, se genera una nueva versión que requiere nuevo consentimiento o firma según el flujo configurado.</w:t>
      </w:r>
    </w:p>
    <w:p>
      <w:pPr>
        <w:pStyle w:val="Heading2"/>
        <w:spacing w:before="200" w:after="90"/>
      </w:pPr>
      <w:r>
        <w:rPr>
          <w:b/>
          <w:bCs/>
          <w:color w:val="5B21B6"/>
          <w:sz w:val="24"/>
          <w:szCs w:val="24"/>
        </w:rPr>
        <w:t xml:space="preserve">5. Invalidez de firmas sobre versiones modificadas</w:t>
      </w:r>
    </w:p>
    <w:p>
      <w:pPr>
        <w:spacing w:after="100"/>
        <w:jc w:val="both"/>
      </w:pPr>
      <w:r>
        <w:rPr>
          <w:b w:val="false"/>
          <w:bCs w:val="false"/>
        </w:rPr>
        <w:t xml:space="preserve">Una firma aplicada a una versión no surte efectos probatorios automáticos sobre cláusulas alteradas sin refrendo posterior. Las partes no deben usar versiones descargadas o editadas fuera del sistema como si estuvieran firmadas, si el hash no coincide con el registrado.</w:t>
      </w:r>
    </w:p>
    <w:p>
      <w:pPr>
        <w:pStyle w:val="Heading2"/>
        <w:spacing w:before="200" w:after="90"/>
      </w:pPr>
      <w:r>
        <w:rPr>
          <w:b/>
          <w:bCs/>
          <w:color w:val="5B21B6"/>
          <w:sz w:val="24"/>
          <w:szCs w:val="24"/>
        </w:rPr>
        <w:t xml:space="preserve">6. Evidencia de firma</w:t>
      </w:r>
    </w:p>
    <w:p>
      <w:pPr>
        <w:spacing w:after="100"/>
        <w:jc w:val="both"/>
      </w:pPr>
      <w:r>
        <w:rPr>
          <w:b w:val="false"/>
          <w:bCs w:val="false"/>
        </w:rPr>
        <w:t xml:space="preserve">ArriendoSeguro puede poner a disposición un anexo o registro de evidencia (por ejemplo, constancia con datos del acto y del documento). Esa evidencia complementa el expediente; la eficacia jurídica frente a terceros depende del tipo de documento, de la ley aplicable y de lo que acuerden las partes con asesoría profesional.</w:t>
      </w:r>
    </w:p>
    <w:p>
      <w:r>
        <w:br w:type="page"/>
      </w:r>
    </w:p>
    <w:p>
      <w:pPr>
        <w:pStyle w:val="Heading1"/>
        <w:spacing w:before="260" w:after="120"/>
      </w:pPr>
      <w:r>
        <w:rPr>
          <w:b/>
          <w:bCs/>
          <w:color w:val="0F172A"/>
          <w:sz w:val="28"/>
          <w:szCs w:val="28"/>
        </w:rPr>
        <w:t xml:space="preserve">6. Condiciones del modo demo</w:t>
      </w:r>
    </w:p>
    <w:p>
      <w:pPr>
        <w:spacing w:after="100"/>
      </w:pPr>
      <w:r>
        <w:rPr>
          <w:color w:val="475569"/>
          <w:sz w:val="18"/>
          <w:szCs w:val="18"/>
        </w:rPr>
        <w:t xml:space="preserve">Aplica al recorrido demostrativo y a datos de ejemplo en la interfaz.</w:t>
      </w:r>
    </w:p>
    <w:p>
      <w:pPr>
        <w:pStyle w:val="Heading2"/>
        <w:spacing w:before="200" w:after="90"/>
      </w:pPr>
      <w:r>
        <w:rPr>
          <w:b/>
          <w:bCs/>
          <w:color w:val="5B21B6"/>
          <w:sz w:val="24"/>
          <w:szCs w:val="24"/>
        </w:rPr>
        <w:t xml:space="preserve">1. Demo sin validez legal</w:t>
      </w:r>
    </w:p>
    <w:p>
      <w:pPr>
        <w:spacing w:after="100"/>
        <w:jc w:val="both"/>
      </w:pPr>
      <w:r>
        <w:rPr>
          <w:b w:val="false"/>
          <w:bCs w:val="false"/>
        </w:rPr>
        <w:t xml:space="preserve">El modo demo, recorridos con datos ficticios o marcas de agua no constituye contrato, consentimiento válido frente a terceros ni prueba judicial por sí solos. Su única finalidad es mostrar las funciones de ArriendoSeguro.</w:t>
      </w:r>
    </w:p>
    <w:p>
      <w:pPr>
        <w:pStyle w:val="Heading2"/>
        <w:spacing w:before="200" w:after="90"/>
      </w:pPr>
      <w:r>
        <w:rPr>
          <w:b/>
          <w:bCs/>
          <w:color w:val="5B21B6"/>
          <w:sz w:val="24"/>
          <w:szCs w:val="24"/>
        </w:rPr>
        <w:t xml:space="preserve">2. Documentos con marca de agua</w:t>
      </w:r>
    </w:p>
    <w:p>
      <w:pPr>
        <w:spacing w:after="100"/>
        <w:jc w:val="both"/>
      </w:pPr>
      <w:r>
        <w:rPr>
          <w:b w:val="false"/>
          <w:bCs w:val="false"/>
        </w:rPr>
        <w:t xml:space="preserve">Toda salida identificada como demo puede incluir leyendas o marcas que impiden confundirla con un documento definitivo. No debe presentarse a notarías, juzgados o terceros como documento final.</w:t>
      </w:r>
    </w:p>
    <w:p>
      <w:pPr>
        <w:pStyle w:val="Heading2"/>
        <w:spacing w:before="200" w:after="90"/>
      </w:pPr>
      <w:r>
        <w:rPr>
          <w:b/>
          <w:bCs/>
          <w:color w:val="5B21B6"/>
          <w:sz w:val="24"/>
          <w:szCs w:val="24"/>
        </w:rPr>
        <w:t xml:space="preserve">3. Datos ficticios</w:t>
      </w:r>
    </w:p>
    <w:p>
      <w:pPr>
        <w:spacing w:after="100"/>
        <w:jc w:val="both"/>
      </w:pPr>
      <w:r>
        <w:rPr>
          <w:b w:val="false"/>
          <w:bCs w:val="false"/>
        </w:rPr>
        <w:t xml:space="preserve">Los nombres, números de documento, direcciones y montos mostrados en demos ilustrativos son inventados o anonimizados. Cualquier parecido con personas reales es coincidencia.</w:t>
      </w:r>
    </w:p>
    <w:p>
      <w:pPr>
        <w:pStyle w:val="Heading2"/>
        <w:spacing w:before="200" w:after="90"/>
      </w:pPr>
      <w:r>
        <w:rPr>
          <w:b/>
          <w:bCs/>
          <w:color w:val="5B21B6"/>
          <w:sz w:val="24"/>
          <w:szCs w:val="24"/>
        </w:rPr>
        <w:t xml:space="preserve">4. No firma real</w:t>
      </w:r>
    </w:p>
    <w:p>
      <w:pPr>
        <w:spacing w:after="100"/>
        <w:jc w:val="both"/>
      </w:pPr>
      <w:r>
        <w:rPr>
          <w:b w:val="false"/>
          <w:bCs w:val="false"/>
        </w:rPr>
        <w:t xml:space="preserve">Las pantallas de firma en modo demo no generan firma electrónica válida ni envían a las mismas rutas de evidencia que un expediente de pago. No se crean obligaciones jurídicas entre las partes ficticias.</w:t>
      </w:r>
    </w:p>
    <w:p>
      <w:pPr>
        <w:pStyle w:val="Heading2"/>
        <w:spacing w:before="200" w:after="90"/>
      </w:pPr>
      <w:r>
        <w:rPr>
          <w:b/>
          <w:bCs/>
          <w:color w:val="5B21B6"/>
          <w:sz w:val="24"/>
          <w:szCs w:val="24"/>
        </w:rPr>
        <w:t xml:space="preserve">5. No contrato real</w:t>
      </w:r>
    </w:p>
    <w:p>
      <w:pPr>
        <w:spacing w:after="100"/>
        <w:jc w:val="both"/>
      </w:pPr>
      <w:r>
        <w:rPr>
          <w:b w:val="false"/>
          <w:bCs w:val="false"/>
        </w:rPr>
        <w:t xml:space="preserve">No nacen derechos de arrendamiento, garantías locativas ni obligaciones de pago por usar el demo. El contrato real requiere Plan Plus o el mecanismo comercial vigente y el cumplimiento de los requisitos legales aplicables.</w:t>
      </w:r>
    </w:p>
    <w:p>
      <w:pPr>
        <w:pStyle w:val="Heading2"/>
        <w:spacing w:before="200" w:after="90"/>
      </w:pPr>
      <w:r>
        <w:rPr>
          <w:b/>
          <w:bCs/>
          <w:color w:val="5B21B6"/>
          <w:sz w:val="24"/>
          <w:szCs w:val="24"/>
        </w:rPr>
        <w:t xml:space="preserve">6. No uso probatorio</w:t>
      </w:r>
    </w:p>
    <w:p>
      <w:pPr>
        <w:spacing w:after="100"/>
        <w:jc w:val="both"/>
      </w:pPr>
      <w:r>
        <w:rPr>
          <w:b w:val="false"/>
          <w:bCs w:val="false"/>
        </w:rPr>
        <w:t xml:space="preserve">No utilice archivos o capturas del demo como prueba en controversias. Para documentación útil debe generar su expediente real, firmar según políticas aplicables y conservar los soportes que exija su asesoría.</w:t>
      </w:r>
    </w:p>
    <w:p>
      <w:r>
        <w:br w:type="page"/>
      </w:r>
    </w:p>
    <w:p>
      <w:pPr>
        <w:pStyle w:val="Heading1"/>
        <w:spacing w:before="260" w:after="120"/>
      </w:pPr>
      <w:r>
        <w:rPr>
          <w:b/>
          <w:bCs/>
          <w:color w:val="0F172A"/>
          <w:sz w:val="28"/>
          <w:szCs w:val="28"/>
        </w:rPr>
        <w:t xml:space="preserve">7. Política de evaluación estructurada de experiencia</w:t>
      </w:r>
    </w:p>
    <w:p>
      <w:pPr>
        <w:spacing w:after="100"/>
      </w:pPr>
      <w:r>
        <w:rPr>
          <w:color w:val="475569"/>
          <w:sz w:val="18"/>
          <w:szCs w:val="18"/>
        </w:rPr>
        <w:t xml:space="preserve">Alineada al tratamiento de datos personales (Ley 1581 de 2012) y a la Ley 1480 de 2011 en lo pertinente a información al consumidor.</w:t>
      </w:r>
    </w:p>
    <w:p>
      <w:pPr>
        <w:pStyle w:val="Heading2"/>
        <w:spacing w:before="200" w:after="90"/>
      </w:pPr>
      <w:r>
        <w:rPr>
          <w:b/>
          <w:bCs/>
          <w:color w:val="5B21B6"/>
          <w:sz w:val="24"/>
          <w:szCs w:val="24"/>
        </w:rPr>
        <w:t xml:space="preserve">1. Evaluación privada</w:t>
      </w:r>
    </w:p>
    <w:p>
      <w:pPr>
        <w:spacing w:after="100"/>
        <w:jc w:val="both"/>
      </w:pPr>
      <w:r>
        <w:rPr>
          <w:b w:val="false"/>
          <w:bCs w:val="false"/>
        </w:rPr>
        <w:t xml:space="preserve">Las respuestas del cuestionario estructurado sobre la experiencia de arriendo se consideran información con fines de mejora del servicio y, cuando se implemente, retroalimentación entre partes bajo reglas de visibilidad que ArriendoSeguro publique. No hay perfil público de reputación salvo que se indique expresamente en el producto.</w:t>
      </w:r>
    </w:p>
    <w:p>
      <w:pPr>
        <w:pStyle w:val="Heading2"/>
        <w:spacing w:before="200" w:after="90"/>
      </w:pPr>
      <w:r>
        <w:rPr>
          <w:b/>
          <w:bCs/>
          <w:color w:val="5B21B6"/>
          <w:sz w:val="24"/>
          <w:szCs w:val="24"/>
        </w:rPr>
        <w:t xml:space="preserve">2. Preguntas cerradas</w:t>
      </w:r>
    </w:p>
    <w:p>
      <w:pPr>
        <w:spacing w:after="100"/>
        <w:jc w:val="both"/>
      </w:pPr>
      <w:r>
        <w:rPr>
          <w:b w:val="false"/>
          <w:bCs w:val="false"/>
        </w:rPr>
        <w:t xml:space="preserve">El diseño prioriza ítems cerrados (escalas, opciones múltiples) para reducir sesgos y facilitar análisis agregado. Si en el futuro se permiten comentarios abiertos, se aplicarán filtros y moderación razonables.</w:t>
      </w:r>
    </w:p>
    <w:p>
      <w:pPr>
        <w:pStyle w:val="Heading2"/>
        <w:spacing w:before="200" w:after="90"/>
      </w:pPr>
      <w:r>
        <w:rPr>
          <w:b/>
          <w:bCs/>
          <w:color w:val="5B21B6"/>
          <w:sz w:val="24"/>
          <w:szCs w:val="24"/>
        </w:rPr>
        <w:t xml:space="preserve">3. No lista negra</w:t>
      </w:r>
    </w:p>
    <w:p>
      <w:pPr>
        <w:spacing w:after="100"/>
        <w:jc w:val="both"/>
      </w:pPr>
      <w:r>
        <w:rPr>
          <w:b w:val="false"/>
          <w:bCs w:val="false"/>
        </w:rPr>
        <w:t xml:space="preserve">ArriendoSeguro no opera ni promueve «listas negras» de arrendatarios o arrendadores. No facilitamos mecanismos de exclusión colectiva sin fundamento legal y debido proceso.</w:t>
      </w:r>
    </w:p>
    <w:p>
      <w:pPr>
        <w:pStyle w:val="Heading2"/>
        <w:spacing w:before="200" w:after="90"/>
      </w:pPr>
      <w:r>
        <w:rPr>
          <w:b/>
          <w:bCs/>
          <w:color w:val="5B21B6"/>
          <w:sz w:val="24"/>
          <w:szCs w:val="24"/>
        </w:rPr>
        <w:t xml:space="preserve">4. No búsqueda pública por cédula</w:t>
      </w:r>
    </w:p>
    <w:p>
      <w:pPr>
        <w:spacing w:after="100"/>
        <w:jc w:val="both"/>
      </w:pPr>
      <w:r>
        <w:rPr>
          <w:b w:val="false"/>
          <w:bCs w:val="false"/>
        </w:rPr>
        <w:t xml:space="preserve">No habrá un buscador público que permita localizar historiales ingresando el número de cédula u otro documento de identidad de terceros. Cualquier cambio futuro de modelo de visibilidad será comunicado con antelación y, cuando corresponda, con nueva base legal.</w:t>
      </w:r>
    </w:p>
    <w:p>
      <w:pPr>
        <w:pStyle w:val="Heading2"/>
        <w:spacing w:before="200" w:after="90"/>
      </w:pPr>
      <w:r>
        <w:rPr>
          <w:b/>
          <w:bCs/>
          <w:color w:val="5B21B6"/>
          <w:sz w:val="24"/>
          <w:szCs w:val="24"/>
        </w:rPr>
        <w:t xml:space="preserve">5. No comentarios ofensivos</w:t>
      </w:r>
    </w:p>
    <w:p>
      <w:pPr>
        <w:spacing w:after="100"/>
        <w:jc w:val="both"/>
      </w:pPr>
      <w:r>
        <w:rPr>
          <w:b w:val="false"/>
          <w:bCs w:val="false"/>
        </w:rPr>
        <w:t xml:space="preserve">Queda prohibido usar la herramienta para insultos, discriminación, datos sensibles innecesarios, acoso o contenido ilícito. Podremos eliminar contenido o suspender cuentas ante incumplimientos graves.</w:t>
      </w:r>
    </w:p>
    <w:p>
      <w:pPr>
        <w:pStyle w:val="Heading2"/>
        <w:spacing w:before="200" w:after="90"/>
      </w:pPr>
      <w:r>
        <w:rPr>
          <w:b/>
          <w:bCs/>
          <w:color w:val="5B21B6"/>
          <w:sz w:val="24"/>
          <w:szCs w:val="24"/>
        </w:rPr>
        <w:t xml:space="preserve">6. Finalidad</w:t>
      </w:r>
    </w:p>
    <w:p>
      <w:pPr>
        <w:spacing w:after="100"/>
        <w:jc w:val="both"/>
      </w:pPr>
      <w:r>
        <w:rPr>
          <w:b w:val="false"/>
          <w:bCs w:val="false"/>
        </w:rPr>
        <w:t xml:space="preserve">La finalidad es conocer la satisfacción con el proceso de formalización, detectar fallas del producto y, en su caso, apoyar la confianza entre usuarios sin sustituir investigaciones judiciales o administrativas.</w:t>
      </w:r>
    </w:p>
    <w:p>
      <w:pPr>
        <w:pStyle w:val="Heading2"/>
        <w:spacing w:before="200" w:after="90"/>
      </w:pPr>
      <w:r>
        <w:rPr>
          <w:b/>
          <w:bCs/>
          <w:color w:val="5B21B6"/>
          <w:sz w:val="24"/>
          <w:szCs w:val="24"/>
        </w:rPr>
        <w:t xml:space="preserve">7. Derecho de réplica y rectificación</w:t>
      </w:r>
    </w:p>
    <w:p>
      <w:pPr>
        <w:spacing w:after="100"/>
        <w:jc w:val="both"/>
      </w:pPr>
      <w:r>
        <w:rPr>
          <w:b w:val="false"/>
          <w:bCs w:val="false"/>
        </w:rPr>
        <w:t xml:space="preserve">Cuando la otra parte le califica, usted es titular de esos datos y tiene derecho de réplica y rectificación (Ley 1581 de 2012): puede dejar su versión desde su expediente, y quedará registrada junto a la calificación. Si la calificación es baja, se lo avisamos por correo y mensaje al celular con una ventana sugerida de 48 horas para que responda pronto; sin embargo, este derecho no caduca por ese plazo y permanece disponible mientras exista la calificación. También puede solicitar revisión por los canales de soporte. Se le informará de cambios relevantes en la política.</w:t>
      </w:r>
    </w:p>
    <w:p>
      <w:pPr>
        <w:pStyle w:val="Heading2"/>
        <w:spacing w:before="200" w:after="90"/>
      </w:pPr>
      <w:r>
        <w:rPr>
          <w:b/>
          <w:bCs/>
          <w:color w:val="5B21B6"/>
          <w:sz w:val="24"/>
          <w:szCs w:val="24"/>
        </w:rPr>
        <w:t xml:space="preserve">8. Tratamiento de datos</w:t>
      </w:r>
    </w:p>
    <w:p>
      <w:pPr>
        <w:spacing w:after="100"/>
        <w:jc w:val="both"/>
      </w:pPr>
      <w:r>
        <w:rPr>
          <w:b w:val="false"/>
          <w:bCs w:val="false"/>
        </w:rPr>
        <w:t xml:space="preserve">Los datos de evaluación se tratan como datos personales cuando permiten identificar o hacer identificable a una persona; aplican los derechos del titular y las medidas de seguridad descritas en la Política de tratamiento de datos personales.</w:t>
      </w:r>
    </w:p>
    <w:p>
      <w:r>
        <w:br w:type="page"/>
      </w:r>
    </w:p>
    <w:p>
      <w:pPr>
        <w:pStyle w:val="Heading1"/>
        <w:spacing w:before="260" w:after="120"/>
      </w:pPr>
      <w:r>
        <w:rPr>
          <w:b/>
          <w:bCs/>
          <w:color w:val="0F172A"/>
          <w:sz w:val="28"/>
          <w:szCs w:val="28"/>
        </w:rPr>
        <w:t xml:space="preserve">8. Texto del consentimiento de registro (CONSENT-2026.1)</w:t>
      </w:r>
    </w:p>
    <w:p>
      <w:pPr>
        <w:spacing w:after="100"/>
      </w:pPr>
      <w:r>
        <w:rPr>
          <w:color w:val="475569"/>
          <w:sz w:val="18"/>
          <w:szCs w:val="18"/>
        </w:rPr>
        <w:t xml:space="preserve">Es el texto que el usuario acepta al registrarse / antes de crear un contrato. Publicado 2026-05-11.</w:t>
      </w:r>
    </w:p>
    <w:p>
      <w:pPr>
        <w:pStyle w:val="Heading3"/>
        <w:spacing w:before="150" w:after="70"/>
      </w:pPr>
      <w:r>
        <w:rPr>
          <w:b/>
          <w:bCs/>
          <w:color w:val="334155"/>
          <w:sz w:val="21"/>
          <w:szCs w:val="21"/>
        </w:rPr>
        <w:t xml:space="preserve">Texto corto (casilla de aceptación)</w:t>
      </w:r>
    </w:p>
    <w:p>
      <w:pPr>
        <w:spacing w:after="100"/>
        <w:jc w:val="both"/>
      </w:pPr>
      <w:r>
        <w:rPr>
          <w:b w:val="false"/>
          <w:bCs w:val="false"/>
        </w:rPr>
        <w:t xml:space="preserve">«He leído y acepto el Aviso de privacidad y autorizo el tratamiento de mis datos personales por parte de Arriendo Seguro, conforme a la Ley 1581 de 2012.»</w:t>
      </w:r>
    </w:p>
    <w:p>
      <w:pPr>
        <w:pStyle w:val="Heading3"/>
        <w:spacing w:before="150" w:after="70"/>
      </w:pPr>
      <w:r>
        <w:rPr>
          <w:b/>
          <w:bCs/>
          <w:color w:val="334155"/>
          <w:sz w:val="21"/>
          <w:szCs w:val="21"/>
        </w:rPr>
        <w:t xml:space="preserve">Texto completo</w:t>
      </w:r>
    </w:p>
    <w:p>
      <w:pPr>
        <w:spacing w:after="100"/>
        <w:jc w:val="both"/>
      </w:pPr>
      <w:r>
        <w:rPr>
          <w:b w:val="false"/>
          <w:bCs w:val="false"/>
        </w:rPr>
        <w:t xml:space="preserve">«Acepto que Arriendo Seguro trate mis datos personales con las siguientes finalidades:</w:t>
      </w:r>
    </w:p>
    <w:p>
      <w:pPr>
        <w:pStyle w:val="ListParagraph"/>
        <w:numPr>
          <w:ilvl w:val="0"/>
          <w:numId w:val="4"/>
        </w:numPr>
        <w:spacing w:after="50"/>
      </w:pPr>
      <w:r>
        <w:rPr>
          <w:b w:val="false"/>
          <w:bCs w:val="false"/>
        </w:rPr>
        <w:t xml:space="preserve">Crear y administrar mi cuenta en la plataforma.</w:t>
      </w:r>
    </w:p>
    <w:p>
      <w:pPr>
        <w:pStyle w:val="ListParagraph"/>
        <w:numPr>
          <w:ilvl w:val="0"/>
          <w:numId w:val="4"/>
        </w:numPr>
        <w:spacing w:after="50"/>
      </w:pPr>
      <w:r>
        <w:rPr>
          <w:b w:val="false"/>
          <w:bCs w:val="false"/>
        </w:rPr>
        <w:t xml:space="preserve">Gestionar el o los expedientes de arriendo en los que participe, incluyendo datos de las partes, inmueble, términos, servicios públicos, codeudor solidario cuando aplique, pagos informativos, firma electrónica y comunicaciones.</w:t>
      </w:r>
    </w:p>
    <w:p>
      <w:pPr>
        <w:pStyle w:val="ListParagraph"/>
        <w:numPr>
          <w:ilvl w:val="0"/>
          <w:numId w:val="4"/>
        </w:numPr>
        <w:spacing w:after="50"/>
      </w:pPr>
      <w:r>
        <w:rPr>
          <w:b w:val="false"/>
          <w:bCs w:val="false"/>
        </w:rPr>
        <w:t xml:space="preserve">Emitir y conservar documentos asociados al contrato y a sus anexos: inventario, acta de entrega, registro de pagos, evidencia de firma electrónica y comunicaciones de mora cuando corresponda.</w:t>
      </w:r>
    </w:p>
    <w:p>
      <w:pPr>
        <w:pStyle w:val="ListParagraph"/>
        <w:numPr>
          <w:ilvl w:val="0"/>
          <w:numId w:val="4"/>
        </w:numPr>
        <w:spacing w:after="50"/>
      </w:pPr>
      <w:r>
        <w:rPr>
          <w:b w:val="false"/>
          <w:bCs w:val="false"/>
        </w:rPr>
        <w:t xml:space="preserve">Conservar evidencia digital (dirección IP, fecha y hora, agente de usuario y hash documental) que permita verificar la autoría e integridad de mis firmas, conforme a la Ley 527 de 1999.</w:t>
      </w:r>
    </w:p>
    <w:p>
      <w:pPr>
        <w:pStyle w:val="ListParagraph"/>
        <w:numPr>
          <w:ilvl w:val="0"/>
          <w:numId w:val="4"/>
        </w:numPr>
        <w:spacing w:after="50"/>
      </w:pPr>
      <w:r>
        <w:rPr>
          <w:b w:val="false"/>
          <w:bCs w:val="false"/>
        </w:rPr>
        <w:t xml:space="preserve">Prestar soporte, atender solicitudes y dar cumplimiento a obligaciones legales aplicables.</w:t>
      </w:r>
    </w:p>
    <w:p>
      <w:pPr>
        <w:spacing w:after="100"/>
        <w:jc w:val="both"/>
      </w:pPr>
      <w:r>
        <w:rPr>
          <w:b w:val="false"/>
          <w:bCs w:val="false"/>
        </w:rPr>
        <w:t xml:space="preserve">Conozco el Aviso de privacidad disponible en la plataforma y mis derechos de conocer, actualizar, rectificar y suprimir mis datos personales, así como de revocar el consentimiento otorgado, conforme a la Ley 1581 de 2012 y al Decreto 1377 de 2013. Sé que puedo presentar consulta o reclamo ante la Superintendencia de Industria y Comercio cuando corresponda.»</w:t>
      </w:r>
    </w:p>
    <w:p>
      <w:r>
        <w:br w:type="page"/>
      </w:r>
    </w:p>
    <w:p>
      <w:pPr>
        <w:pStyle w:val="Heading1"/>
        <w:spacing w:before="260" w:after="120"/>
      </w:pPr>
      <w:r>
        <w:rPr>
          <w:b/>
          <w:bCs/>
          <w:color w:val="0F172A"/>
          <w:sz w:val="28"/>
          <w:szCs w:val="28"/>
        </w:rPr>
        <w:t xml:space="preserve">9. Puntos que conviene confirmar con el abogado</w:t>
      </w:r>
    </w:p>
    <w:p>
      <w:pPr>
        <w:pBdr>
          <w:left w:val="single" w:color="5B21B6" w:sz="18" w:space="6"/>
        </w:pBdr>
        <w:shd w:fill="F5F3FF" w:color="auto" w:val="clear"/>
        <w:spacing w:after="120"/>
      </w:pPr>
      <w:r>
        <w:rPr>
          <w:i/>
          <w:iCs/>
          <w:color w:val="475569"/>
          <w:sz w:val="19"/>
          <w:szCs w:val="19"/>
        </w:rPr>
        <w:t xml:space="preserve">No son errores del sitio; son decisiones de identidad/alcance que el abogado debe validar y que requieren un dato o una definición del negocio.</w:t>
      </w:r>
    </w:p>
    <w:p>
      <w:pPr>
        <w:pStyle w:val="ListParagraph"/>
        <w:numPr>
          <w:ilvl w:val="0"/>
          <w:numId w:val="5"/>
        </w:numPr>
        <w:spacing w:after="50"/>
      </w:pPr>
      <w:r>
        <w:rPr>
          <w:b/>
          <w:bCs/>
        </w:rPr>
        <w:t xml:space="preserve">Identidad societaria de LOTIC.</w:t>
      </w:r>
      <w:r>
        <w:rPr>
          <w:b w:val="false"/>
          <w:bCs w:val="false"/>
        </w:rPr>
        <w:t xml:space="preserve"> Hoy se identifica a LOTIC como responsable/operador con domicilio en Medellín y canal contacto@arriendoseguro.app. Falta definir si se publica razón social exacta y NIT (y dirección de notificación judicial). Si LOTIC está constituida, indícanos esos datos para insertarlos; el abogado confirma si son obligatorios para el aviso.</w:t>
      </w:r>
    </w:p>
    <w:p>
      <w:pPr>
        <w:pStyle w:val="ListParagraph"/>
        <w:numPr>
          <w:ilvl w:val="0"/>
          <w:numId w:val="5"/>
        </w:numPr>
        <w:spacing w:after="50"/>
      </w:pPr>
      <w:r>
        <w:rPr>
          <w:b/>
          <w:bCs/>
        </w:rPr>
        <w:t xml:space="preserve">Grafía de la marca.</w:t>
      </w:r>
      <w:r>
        <w:rPr>
          <w:b w:val="false"/>
          <w:bCs w:val="false"/>
        </w:rPr>
        <w:t xml:space="preserve"> La interfaz y las políticas usan «ArriendoSeguro» (una palabra), mientras que el contrato y el texto de consentimiento usan «Arriendo Seguro» (dos palabras). Conviene unificar; cambiar el consentimiento implica publicar una nueva versión y pedir reaceptación, por eso se dejó como está a la espera de tu decisión.</w:t>
      </w:r>
    </w:p>
    <w:p>
      <w:pPr>
        <w:pStyle w:val="ListParagraph"/>
        <w:numPr>
          <w:ilvl w:val="0"/>
          <w:numId w:val="5"/>
        </w:numPr>
        <w:spacing w:after="50"/>
      </w:pPr>
      <w:r>
        <w:rPr>
          <w:b/>
          <w:bCs/>
        </w:rPr>
        <w:t xml:space="preserve">Modelo comercial (para referencia, ya definido).</w:t>
      </w:r>
      <w:r>
        <w:rPr>
          <w:b w:val="false"/>
          <w:bCs w:val="false"/>
        </w:rPr>
        <w:t xml:space="preserve"> El contrato se paga por una sola vez: precio de introducción $49.900 (lista $89.900), que incluye TODO (firma electrónica, inventario, acta, pagos, posventa, paquete de pruebas). Solo las herramientas sueltas (calculadoras, plantillas, blog) son gratuitas. No hay «primer mes gratis» ni mensualidad. El único beneficio es el «segundo contrato gratis» por referidos (invitar a 3, que al menos 2 usen la app). La única firma que existe es la electrónica simple interna (Ley 527); la notaría y la firma del Estado (Agencia Nacional Digital, Decreto 620/2020) son trámites externos opcionales y complementarios.</w:t>
      </w:r>
    </w:p>
    <w:p>
      <w:pPr>
        <w:pStyle w:val="ListParagraph"/>
        <w:numPr>
          <w:ilvl w:val="0"/>
          <w:numId w:val="5"/>
        </w:numPr>
        <w:spacing w:after="50"/>
      </w:pPr>
      <w:r>
        <w:rPr>
          <w:b/>
          <w:bCs/>
        </w:rPr>
        <w:t xml:space="preserve">Requerimiento formal de cobro (día 6) y plantillas de cobro/entrega.</w:t>
      </w:r>
      <w:r>
        <w:rPr>
          <w:b w:val="false"/>
          <w:bCs w:val="false"/>
        </w:rPr>
        <w:t xml:space="preserve"> Están redactados como consecuencias lícitas de la mora bajo la Ley 820 (sin amenaza de embargo directo). Requieren visto bueno del abogado antes de usarse masivamente, en especial la mención a reporte a centrales de riesgo (verificar que la autorización de datos lo respalde) y a proceso ejecutivo.</w:t>
      </w:r>
    </w:p>
    <w:p>
      <w:pPr>
        <w:pStyle w:val="ListParagraph"/>
        <w:numPr>
          <w:ilvl w:val="0"/>
          <w:numId w:val="5"/>
        </w:numPr>
        <w:spacing w:after="50"/>
      </w:pPr>
      <w:r>
        <w:rPr>
          <w:b/>
          <w:bCs/>
        </w:rPr>
        <w:t xml:space="preserve">Reputación / Habeas Data.</w:t>
      </w:r>
      <w:r>
        <w:rPr>
          <w:b w:val="false"/>
          <w:bCs w:val="false"/>
        </w:rPr>
        <w:t xml:space="preserve"> Revisar si el modelo de evaluación entre partes activa la Ley 1266 de 2008 (habeas data financiero/comercial) o si se mantiene solo bajo la Ley 1581 de 2012. Hoy solo se cita la 1581.</w:t>
      </w:r>
    </w:p>
    <w:p>
      <w:pPr>
        <w:pStyle w:val="ListParagraph"/>
        <w:numPr>
          <w:ilvl w:val="0"/>
          <w:numId w:val="5"/>
        </w:numPr>
        <w:spacing w:after="50"/>
      </w:pPr>
      <w:r>
        <w:rPr>
          <w:b/>
          <w:bCs/>
        </w:rPr>
        <w:t xml:space="preserve">Autoservicio de habeas data.</w:t>
      </w:r>
      <w:r>
        <w:rPr>
          <w:b w:val="false"/>
          <w:bCs w:val="false"/>
        </w:rPr>
        <w:t xml:space="preserve"> Desde el menú del usuario, «Mis datos (Habeas Data)» permite consultar, descargar, rectificar (nombre y teléfono) y eliminar la cuenta de forma automática. Validar que este alcance cumple con el deber de atención de consultas y reclamos (Ley 1581 de 2012) y si conviene documentar plazos.</w:t>
      </w:r>
    </w:p>
    <w:p>
      <w:pPr>
        <w:pStyle w:val="ListParagraph"/>
        <w:numPr>
          <w:ilvl w:val="0"/>
          <w:numId w:val="5"/>
        </w:numPr>
        <w:spacing w:after="50"/>
      </w:pPr>
      <w:r>
        <w:rPr>
          <w:b/>
          <w:bCs/>
        </w:rPr>
        <w:t xml:space="preserve">Firma electrónica.</w:t>
      </w:r>
      <w:r>
        <w:rPr>
          <w:b w:val="false"/>
          <w:bCs w:val="false"/>
        </w:rPr>
        <w:t xml:space="preserve"> Confirmar que el alcance de «firma electrónica simple con evidencia» (Ley 527 de 1999) es suficiente para los actos previstos y en qué casos conviene autenticación notarial o la Agencia Nacional Digital.</w:t>
      </w:r>
    </w:p>
    <w:p>
      <w:pPr>
        <w:pStyle w:val="ListParagraph"/>
        <w:numPr>
          <w:ilvl w:val="0"/>
          <w:numId w:val="5"/>
        </w:numPr>
        <w:spacing w:after="50"/>
      </w:pPr>
      <w:r>
        <w:rPr>
          <w:b/>
          <w:bCs/>
        </w:rPr>
        <w:t xml:space="preserve">Cláusula «Otra» (texto libre con revisión).</w:t>
      </w:r>
      <w:r>
        <w:rPr>
          <w:b w:val="false"/>
          <w:bCs w:val="false"/>
        </w:rPr>
        <w:t xml:space="preserve"> Validar el flujo de redacción por aliado jurídico y el disclaimer de validez, en especial para cláusulas de multas, intereses o penalidades.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2026-08-11T20:47:09.860Z</dcterms:created>
  <dcterms:modified xsi:type="dcterms:W3CDTF">2026-08-11T20:47:09.864Z</dcterms:modified>
</cp:coreProperties>
</file>

<file path=docProps/custom.xml><?xml version="1.0" encoding="utf-8"?>
<Properties xmlns="http://schemas.openxmlformats.org/officeDocument/2006/custom-properties" xmlns:vt="http://schemas.openxmlformats.org/officeDocument/2006/docPropsVTypes"/>
</file>