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w:t>
      </w:r>
      <w:r>
        <w:t xml:space="preserve"> </w:t>
      </w:r>
      <w:r>
        <w:t xml:space="preserve">fisheries</w:t>
      </w:r>
      <w:r>
        <w:t xml:space="preserve"> </w:t>
      </w:r>
      <w:r>
        <w:t xml:space="preserve">data</w:t>
      </w:r>
      <w:r>
        <w:t xml:space="preserve"> </w:t>
      </w:r>
      <w:r>
        <w:t xml:space="preserve">summary</w:t>
      </w:r>
    </w:p>
    <w:p>
      <w:pPr>
        <w:pStyle w:val="Author"/>
      </w:pPr>
      <w:r>
        <w:t xml:space="preserve">Colm</w:t>
      </w:r>
      <w:r>
        <w:t xml:space="preserve"> </w:t>
      </w:r>
      <w:r>
        <w:t xml:space="preserve">Lordan</w:t>
      </w:r>
    </w:p>
    <w:p>
      <w:pPr>
        <w:pStyle w:val="Date"/>
      </w:pPr>
      <w:r>
        <w:t xml:space="preserve">5</w:t>
      </w:r>
      <w:r>
        <w:t xml:space="preserve"> </w:t>
      </w:r>
      <w:r>
        <w:t xml:space="preserve">February</w:t>
      </w:r>
      <w:r>
        <w:t xml:space="preserve"> </w:t>
      </w:r>
      <w:r>
        <w:t xml:space="preserve">2016</w:t>
      </w:r>
    </w:p>
    <w:p>
      <w:pPr>
        <w:pStyle w:val="FirstParagraph"/>
      </w:pPr>
      <w:r>
        <w:t xml:space="preserve">This document summaries the fisheries dependent data for cod around the Irish Sea. It is generated using r Markdown code for easy reproducibility, further analysis and development as required. The first step is download the data from the JRC website and read it into R. I download the detailed data for VIIa, VIa and VIIb-k (Annex IIa; 3c&amp;3d and Cel1) and re-aggregate and summaries in R as required.</w:t>
      </w:r>
    </w:p>
    <w:p>
      <w:pPr>
        <w:pStyle w:val="BodyText"/>
      </w:pPr>
      <w:hyperlink r:id="rId21">
        <w:r>
          <w:rPr>
            <w:rStyle w:val="Hyperlink"/>
          </w:rPr>
          <w:t xml:space="preserve">https://datacollection.jrc.ec.europa.eu/dd/effort/maps</w:t>
        </w:r>
      </w:hyperlink>
      <w:r>
        <w:t xml:space="preserve">.</w:t>
      </w:r>
    </w:p>
    <w:p>
      <w:pPr>
        <w:pStyle w:val="BodyText"/>
      </w:pPr>
      <w:r>
        <w:drawing>
          <wp:inline>
            <wp:extent cx="5334000" cy="3470856"/>
            <wp:effectExtent b="0" l="0" r="0" t="0"/>
            <wp:docPr descr="" id="1" name="Picture"/>
            <a:graphic>
              <a:graphicData uri="http://schemas.openxmlformats.org/drawingml/2006/picture">
                <pic:pic>
                  <pic:nvPicPr>
                    <pic:cNvPr descr="Capture.PNG" id="0" name="Picture"/>
                    <pic:cNvPicPr>
                      <a:picLocks noChangeArrowheads="1" noChangeAspect="1"/>
                    </pic:cNvPicPr>
                  </pic:nvPicPr>
                  <pic:blipFill>
                    <a:blip r:embed="rId22"/>
                    <a:stretch>
                      <a:fillRect/>
                    </a:stretch>
                  </pic:blipFill>
                  <pic:spPr bwMode="auto">
                    <a:xfrm>
                      <a:off x="0" y="0"/>
                      <a:ext cx="5334000" cy="3470856"/>
                    </a:xfrm>
                    <a:prstGeom prst="rect">
                      <a:avLst/>
                    </a:prstGeom>
                    <a:noFill/>
                    <a:ln w="9525">
                      <a:noFill/>
                      <a:headEnd/>
                      <a:tailEnd/>
                    </a:ln>
                  </pic:spPr>
                </pic:pic>
              </a:graphicData>
            </a:graphic>
          </wp:inline>
        </w:drawing>
      </w:r>
    </w:p>
    <w:p>
      <w:pPr>
        <w:pStyle w:val="BodyText"/>
      </w:pPr>
      <w:r>
        <w:t xml:space="preserve">Next I plot the time series of landings data to make sure that it is of similar magnitude to that reported by ICES for this stock. The ICES landings estimates were obtained from the stock summary sheet at the following web address.</w:t>
      </w:r>
      <w:r>
        <w:t xml:space="preserve"> </w:t>
      </w:r>
      <w:hyperlink r:id="rId23">
        <w:r>
          <w:rPr>
            <w:rStyle w:val="Hyperlink"/>
          </w:rPr>
          <w:t xml:space="preserve">http://www.ices.dk/sites/pub/Publication%20Reports/Advice/2014/2014/cod-iris.pdf</w:t>
        </w:r>
      </w:hyperlink>
      <w:r>
        <w:t xml:space="preserve">.</w:t>
      </w:r>
    </w:p>
    <w:p>
      <w:pPr>
        <w:pStyle w:val="BodyText"/>
      </w:pPr>
      <w:r>
        <w:drawing>
          <wp:inline>
            <wp:extent cx="4610100" cy="3695700"/>
            <wp:effectExtent b="0" l="0" r="0" t="0"/>
            <wp:docPr descr="" id="1" name="Picture"/>
            <a:graphic>
              <a:graphicData uri="http://schemas.openxmlformats.org/drawingml/2006/picture">
                <pic:pic>
                  <pic:nvPicPr>
                    <pic:cNvPr descr="summary_of_fisheries_data_files/figure-docx/unnamed-chunk-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Time series cod landings in VIIa from the STECF database. The black line is the STECF data the red line is the ICES estimates.</w:t>
      </w:r>
    </w:p>
    <w:p>
      <w:pPr>
        <w:pStyle w:val="BodyText"/>
      </w:pPr>
      <w:r>
        <w:t xml:space="preserve">Landings have declined from 1120t at in 2002 to a minimum of 210 in 2013. The ICES estimates of total landings from VIIa and the STECF landings data by rectangle are very similar over the time series. This confirms that the data in the STECF database are fairly complete and very similar to those used by ICES.</w:t>
      </w:r>
    </w:p>
    <w:p>
      <w:pPr>
        <w:pStyle w:val="BodyText"/>
      </w:pPr>
      <w:r>
        <w:t xml:space="preserve">The next step is to investigate the spatial distribution of the reported landings by rectangle in the Irish Sea.</w:t>
      </w:r>
    </w:p>
    <w:p>
      <w:pPr>
        <w:pStyle w:val="BodyText"/>
      </w:pPr>
      <w:r>
        <w:drawing>
          <wp:inline>
            <wp:extent cx="5334000" cy="6227078"/>
            <wp:effectExtent b="0" l="0" r="0" t="0"/>
            <wp:docPr descr="" id="1" name="Picture"/>
            <a:graphic>
              <a:graphicData uri="http://schemas.openxmlformats.org/drawingml/2006/picture">
                <pic:pic>
                  <pic:nvPicPr>
                    <pic:cNvPr descr="summary_of_fisheries_data_files/figure-docx/unnamed-chunk-2-1.png" id="0" name="Picture"/>
                    <pic:cNvPicPr>
                      <a:picLocks noChangeArrowheads="1" noChangeAspect="1"/>
                    </pic:cNvPicPr>
                  </pic:nvPicPr>
                  <pic:blipFill>
                    <a:blip r:embed="rId25"/>
                    <a:stretch>
                      <a:fillRect/>
                    </a:stretch>
                  </pic:blipFill>
                  <pic:spPr bwMode="auto">
                    <a:xfrm>
                      <a:off x="0" y="0"/>
                      <a:ext cx="5334000" cy="6227078"/>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Time series cod landings and effort in hours for all fishing gears in VIIa by ICES rectangle from the STECF database.</w:t>
      </w:r>
    </w:p>
    <w:p>
      <w:pPr>
        <w:pStyle w:val="BodyText"/>
      </w:pPr>
      <w:r>
        <w:t xml:space="preserve">Reported landings have declined significantly over time but the landings remain higher in the western Irish Sea relative to other areas. The highest landings over the time series were from 36E4 which is coincident with the main Nephrops fishery. Almost all rectangles show a strongly declining trend since 2003 (Figure 3). There is also some spatial coherence in the patterns observed for example in 38E4 and 37E4 landings were relatively stable up to 2010 but after that there was a sharp decline.</w:t>
      </w:r>
    </w:p>
    <w:p>
      <w:pPr>
        <w:pStyle w:val="BodyText"/>
      </w:pPr>
      <w:r>
        <w:drawing>
          <wp:inline>
            <wp:extent cx="5334000" cy="5993876"/>
            <wp:effectExtent b="0" l="0" r="0" t="0"/>
            <wp:docPr descr="" id="1" name="Picture"/>
            <a:graphic>
              <a:graphicData uri="http://schemas.openxmlformats.org/drawingml/2006/picture">
                <pic:pic>
                  <pic:nvPicPr>
                    <pic:cNvPr descr="summary_of_fisheries_data_files/figure-docx/unnamed-chunk-3-1.png" id="0" name="Picture"/>
                    <pic:cNvPicPr>
                      <a:picLocks noChangeArrowheads="1" noChangeAspect="1"/>
                    </pic:cNvPicPr>
                  </pic:nvPicPr>
                  <pic:blipFill>
                    <a:blip r:embed="rId26"/>
                    <a:stretch>
                      <a:fillRect/>
                    </a:stretch>
                  </pic:blipFill>
                  <pic:spPr bwMode="auto">
                    <a:xfrm>
                      <a:off x="0" y="0"/>
                      <a:ext cx="5334000" cy="5993876"/>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Time series cod landings in VIIa by ICES rectangle from the STECF database (with relative y scales).</w:t>
      </w:r>
    </w:p>
    <w:p>
      <w:pPr>
        <w:pStyle w:val="BodyText"/>
      </w:pPr>
      <w:r>
        <w:t xml:space="preserve">The time series of landings for the top 5 rectangles is given in table 1 below.</w:t>
      </w:r>
    </w:p>
    <w:p>
      <w:pPr>
        <w:pStyle w:val="BodyText"/>
      </w:pPr>
      <w:r>
        <w:rPr>
          <w:b/>
        </w:rPr>
        <w:t xml:space="preserve">Table 1.</w:t>
      </w:r>
      <w:r>
        <w:t xml:space="preserve"> </w:t>
      </w:r>
      <w:r>
        <w:t xml:space="preserve">Time series of landings for the top 5 ICES rectangle in VIIa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35E4</w:t>
            </w:r>
          </w:p>
        </w:tc>
        <w:tc>
          <w:tcPr>
            <w:tcBorders>
              <w:bottom w:val="single"/>
            </w:tcBorders>
            <w:vAlign w:val="bottom"/>
          </w:tcPr>
          <w:p>
            <w:pPr>
              <w:pStyle w:val="Compact"/>
              <w:jc w:val="right"/>
            </w:pPr>
            <w:r>
              <w:t xml:space="preserve">36E4</w:t>
            </w:r>
          </w:p>
        </w:tc>
        <w:tc>
          <w:tcPr>
            <w:tcBorders>
              <w:bottom w:val="single"/>
            </w:tcBorders>
            <w:vAlign w:val="bottom"/>
          </w:tcPr>
          <w:p>
            <w:pPr>
              <w:pStyle w:val="Compact"/>
              <w:jc w:val="right"/>
            </w:pPr>
            <w:r>
              <w:t xml:space="preserve">37E4</w:t>
            </w:r>
          </w:p>
        </w:tc>
        <w:tc>
          <w:tcPr>
            <w:tcBorders>
              <w:bottom w:val="single"/>
            </w:tcBorders>
            <w:vAlign w:val="bottom"/>
          </w:tcPr>
          <w:p>
            <w:pPr>
              <w:pStyle w:val="Compact"/>
              <w:jc w:val="right"/>
            </w:pPr>
            <w:r>
              <w:t xml:space="preserve">37E5</w:t>
            </w:r>
          </w:p>
        </w:tc>
        <w:tc>
          <w:tcPr>
            <w:tcBorders>
              <w:bottom w:val="single"/>
            </w:tcBorders>
            <w:vAlign w:val="bottom"/>
          </w:tcPr>
          <w:p>
            <w:pPr>
              <w:pStyle w:val="Compact"/>
              <w:jc w:val="right"/>
            </w:pPr>
            <w:r>
              <w:t xml:space="preserve">38E4</w:t>
            </w:r>
          </w:p>
        </w:tc>
      </w:tr>
      <w:tr>
        <w:tc>
          <w:p>
            <w:pPr>
              <w:pStyle w:val="Compact"/>
              <w:jc w:val="right"/>
            </w:pPr>
            <w:r>
              <w:t xml:space="preserve">2003</w:t>
            </w:r>
          </w:p>
        </w:tc>
        <w:tc>
          <w:p>
            <w:pPr>
              <w:pStyle w:val="Compact"/>
              <w:jc w:val="right"/>
            </w:pPr>
            <w:r>
              <w:t xml:space="preserve">158</w:t>
            </w:r>
          </w:p>
        </w:tc>
        <w:tc>
          <w:p>
            <w:pPr>
              <w:pStyle w:val="Compact"/>
              <w:jc w:val="right"/>
            </w:pPr>
            <w:r>
              <w:t xml:space="preserve">334</w:t>
            </w:r>
          </w:p>
        </w:tc>
        <w:tc>
          <w:p>
            <w:pPr>
              <w:pStyle w:val="Compact"/>
              <w:jc w:val="right"/>
            </w:pPr>
            <w:r>
              <w:t xml:space="preserve">99</w:t>
            </w:r>
          </w:p>
        </w:tc>
        <w:tc>
          <w:p>
            <w:pPr>
              <w:pStyle w:val="Compact"/>
              <w:jc w:val="right"/>
            </w:pPr>
            <w:r>
              <w:t xml:space="preserve">43</w:t>
            </w:r>
          </w:p>
        </w:tc>
        <w:tc>
          <w:p>
            <w:pPr>
              <w:pStyle w:val="Compact"/>
              <w:jc w:val="right"/>
            </w:pPr>
            <w:r>
              <w:t xml:space="preserve">142</w:t>
            </w:r>
          </w:p>
        </w:tc>
      </w:tr>
      <w:tr>
        <w:tc>
          <w:p>
            <w:pPr>
              <w:pStyle w:val="Compact"/>
              <w:jc w:val="right"/>
            </w:pPr>
            <w:r>
              <w:t xml:space="preserve">2004</w:t>
            </w:r>
          </w:p>
        </w:tc>
        <w:tc>
          <w:p>
            <w:pPr>
              <w:pStyle w:val="Compact"/>
              <w:jc w:val="right"/>
            </w:pPr>
            <w:r>
              <w:t xml:space="preserve">66</w:t>
            </w:r>
          </w:p>
        </w:tc>
        <w:tc>
          <w:p>
            <w:pPr>
              <w:pStyle w:val="Compact"/>
              <w:jc w:val="right"/>
            </w:pPr>
            <w:r>
              <w:t xml:space="preserve">335</w:t>
            </w:r>
          </w:p>
        </w:tc>
        <w:tc>
          <w:p>
            <w:pPr>
              <w:pStyle w:val="Compact"/>
              <w:jc w:val="right"/>
            </w:pPr>
            <w:r>
              <w:t xml:space="preserve">141</w:t>
            </w:r>
          </w:p>
        </w:tc>
        <w:tc>
          <w:p>
            <w:pPr>
              <w:pStyle w:val="Compact"/>
              <w:jc w:val="right"/>
            </w:pPr>
            <w:r>
              <w:t xml:space="preserve">49</w:t>
            </w:r>
          </w:p>
        </w:tc>
        <w:tc>
          <w:p>
            <w:pPr>
              <w:pStyle w:val="Compact"/>
              <w:jc w:val="right"/>
            </w:pPr>
            <w:r>
              <w:t xml:space="preserve">181</w:t>
            </w:r>
          </w:p>
        </w:tc>
      </w:tr>
      <w:tr>
        <w:tc>
          <w:p>
            <w:pPr>
              <w:pStyle w:val="Compact"/>
              <w:jc w:val="right"/>
            </w:pPr>
            <w:r>
              <w:t xml:space="preserve">2005</w:t>
            </w:r>
          </w:p>
        </w:tc>
        <w:tc>
          <w:p>
            <w:pPr>
              <w:pStyle w:val="Compact"/>
              <w:jc w:val="right"/>
            </w:pPr>
            <w:r>
              <w:t xml:space="preserve">69</w:t>
            </w:r>
          </w:p>
        </w:tc>
        <w:tc>
          <w:p>
            <w:pPr>
              <w:pStyle w:val="Compact"/>
              <w:jc w:val="right"/>
            </w:pPr>
            <w:r>
              <w:t xml:space="preserve">279</w:t>
            </w:r>
          </w:p>
        </w:tc>
        <w:tc>
          <w:p>
            <w:pPr>
              <w:pStyle w:val="Compact"/>
              <w:jc w:val="right"/>
            </w:pPr>
            <w:r>
              <w:t xml:space="preserve">106</w:t>
            </w:r>
          </w:p>
        </w:tc>
        <w:tc>
          <w:p>
            <w:pPr>
              <w:pStyle w:val="Compact"/>
              <w:jc w:val="right"/>
            </w:pPr>
            <w:r>
              <w:t xml:space="preserve">40</w:t>
            </w:r>
          </w:p>
        </w:tc>
        <w:tc>
          <w:p>
            <w:pPr>
              <w:pStyle w:val="Compact"/>
              <w:jc w:val="right"/>
            </w:pPr>
            <w:r>
              <w:t xml:space="preserve">202</w:t>
            </w:r>
          </w:p>
        </w:tc>
      </w:tr>
      <w:tr>
        <w:tc>
          <w:p>
            <w:pPr>
              <w:pStyle w:val="Compact"/>
              <w:jc w:val="right"/>
            </w:pPr>
            <w:r>
              <w:t xml:space="preserve">2006</w:t>
            </w:r>
          </w:p>
        </w:tc>
        <w:tc>
          <w:p>
            <w:pPr>
              <w:pStyle w:val="Compact"/>
              <w:jc w:val="right"/>
            </w:pPr>
            <w:r>
              <w:t xml:space="preserve">48</w:t>
            </w:r>
          </w:p>
        </w:tc>
        <w:tc>
          <w:p>
            <w:pPr>
              <w:pStyle w:val="Compact"/>
              <w:jc w:val="right"/>
            </w:pPr>
            <w:r>
              <w:t xml:space="preserve">320</w:t>
            </w:r>
          </w:p>
        </w:tc>
        <w:tc>
          <w:p>
            <w:pPr>
              <w:pStyle w:val="Compact"/>
              <w:jc w:val="right"/>
            </w:pPr>
            <w:r>
              <w:t xml:space="preserve">105</w:t>
            </w:r>
          </w:p>
        </w:tc>
        <w:tc>
          <w:p>
            <w:pPr>
              <w:pStyle w:val="Compact"/>
              <w:jc w:val="right"/>
            </w:pPr>
            <w:r>
              <w:t xml:space="preserve">50</w:t>
            </w:r>
          </w:p>
        </w:tc>
        <w:tc>
          <w:p>
            <w:pPr>
              <w:pStyle w:val="Compact"/>
              <w:jc w:val="right"/>
            </w:pPr>
            <w:r>
              <w:t xml:space="preserve">173</w:t>
            </w:r>
          </w:p>
        </w:tc>
      </w:tr>
      <w:tr>
        <w:tc>
          <w:p>
            <w:pPr>
              <w:pStyle w:val="Compact"/>
              <w:jc w:val="right"/>
            </w:pPr>
            <w:r>
              <w:t xml:space="preserve">2007</w:t>
            </w:r>
          </w:p>
        </w:tc>
        <w:tc>
          <w:p>
            <w:pPr>
              <w:pStyle w:val="Compact"/>
              <w:jc w:val="right"/>
            </w:pPr>
            <w:r>
              <w:t xml:space="preserve">53</w:t>
            </w:r>
          </w:p>
        </w:tc>
        <w:tc>
          <w:p>
            <w:pPr>
              <w:pStyle w:val="Compact"/>
              <w:jc w:val="right"/>
            </w:pPr>
            <w:r>
              <w:t xml:space="preserve">231</w:t>
            </w:r>
          </w:p>
        </w:tc>
        <w:tc>
          <w:p>
            <w:pPr>
              <w:pStyle w:val="Compact"/>
              <w:jc w:val="right"/>
            </w:pPr>
            <w:r>
              <w:t xml:space="preserve">137</w:t>
            </w:r>
          </w:p>
        </w:tc>
        <w:tc>
          <w:p>
            <w:pPr>
              <w:pStyle w:val="Compact"/>
              <w:jc w:val="right"/>
            </w:pPr>
            <w:r>
              <w:t xml:space="preserve">29</w:t>
            </w:r>
          </w:p>
        </w:tc>
        <w:tc>
          <w:p>
            <w:pPr>
              <w:pStyle w:val="Compact"/>
              <w:jc w:val="right"/>
            </w:pPr>
            <w:r>
              <w:t xml:space="preserve">107</w:t>
            </w:r>
          </w:p>
        </w:tc>
      </w:tr>
      <w:tr>
        <w:tc>
          <w:p>
            <w:pPr>
              <w:pStyle w:val="Compact"/>
              <w:jc w:val="right"/>
            </w:pPr>
            <w:r>
              <w:t xml:space="preserve">2008</w:t>
            </w:r>
          </w:p>
        </w:tc>
        <w:tc>
          <w:p>
            <w:pPr>
              <w:pStyle w:val="Compact"/>
              <w:jc w:val="right"/>
            </w:pPr>
            <w:r>
              <w:t xml:space="preserve">13</w:t>
            </w:r>
          </w:p>
        </w:tc>
        <w:tc>
          <w:p>
            <w:pPr>
              <w:pStyle w:val="Compact"/>
              <w:jc w:val="right"/>
            </w:pPr>
            <w:r>
              <w:t xml:space="preserve">211</w:t>
            </w:r>
          </w:p>
        </w:tc>
        <w:tc>
          <w:p>
            <w:pPr>
              <w:pStyle w:val="Compact"/>
              <w:jc w:val="right"/>
            </w:pPr>
            <w:r>
              <w:t xml:space="preserve">141</w:t>
            </w:r>
          </w:p>
        </w:tc>
        <w:tc>
          <w:p>
            <w:pPr>
              <w:pStyle w:val="Compact"/>
              <w:jc w:val="right"/>
            </w:pPr>
            <w:r>
              <w:t xml:space="preserve">20</w:t>
            </w:r>
          </w:p>
        </w:tc>
        <w:tc>
          <w:p>
            <w:pPr>
              <w:pStyle w:val="Compact"/>
              <w:jc w:val="right"/>
            </w:pPr>
            <w:r>
              <w:t xml:space="preserve">216</w:t>
            </w:r>
          </w:p>
        </w:tc>
      </w:tr>
      <w:tr>
        <w:tc>
          <w:p>
            <w:pPr>
              <w:pStyle w:val="Compact"/>
              <w:jc w:val="right"/>
            </w:pPr>
            <w:r>
              <w:t xml:space="preserve">2009</w:t>
            </w:r>
          </w:p>
        </w:tc>
        <w:tc>
          <w:p>
            <w:pPr>
              <w:pStyle w:val="Compact"/>
              <w:jc w:val="right"/>
            </w:pPr>
            <w:r>
              <w:t xml:space="preserve">12</w:t>
            </w:r>
          </w:p>
        </w:tc>
        <w:tc>
          <w:p>
            <w:pPr>
              <w:pStyle w:val="Compact"/>
              <w:jc w:val="right"/>
            </w:pPr>
            <w:r>
              <w:t xml:space="preserve">130</w:t>
            </w:r>
          </w:p>
        </w:tc>
        <w:tc>
          <w:p>
            <w:pPr>
              <w:pStyle w:val="Compact"/>
              <w:jc w:val="right"/>
            </w:pPr>
            <w:r>
              <w:t xml:space="preserve">105</w:t>
            </w:r>
          </w:p>
        </w:tc>
        <w:tc>
          <w:p>
            <w:pPr>
              <w:pStyle w:val="Compact"/>
              <w:jc w:val="right"/>
            </w:pPr>
            <w:r>
              <w:t xml:space="preserve">6</w:t>
            </w:r>
          </w:p>
        </w:tc>
        <w:tc>
          <w:p>
            <w:pPr>
              <w:pStyle w:val="Compact"/>
              <w:jc w:val="right"/>
            </w:pPr>
            <w:r>
              <w:t xml:space="preserve">205</w:t>
            </w:r>
          </w:p>
        </w:tc>
      </w:tr>
      <w:tr>
        <w:tc>
          <w:p>
            <w:pPr>
              <w:pStyle w:val="Compact"/>
              <w:jc w:val="right"/>
            </w:pPr>
            <w:r>
              <w:t xml:space="preserve">2010</w:t>
            </w:r>
          </w:p>
        </w:tc>
        <w:tc>
          <w:p>
            <w:pPr>
              <w:pStyle w:val="Compact"/>
              <w:jc w:val="right"/>
            </w:pPr>
            <w:r>
              <w:t xml:space="preserve">38</w:t>
            </w:r>
          </w:p>
        </w:tc>
        <w:tc>
          <w:p>
            <w:pPr>
              <w:pStyle w:val="Compact"/>
              <w:jc w:val="right"/>
            </w:pPr>
            <w:r>
              <w:t xml:space="preserve">190</w:t>
            </w:r>
          </w:p>
        </w:tc>
        <w:tc>
          <w:p>
            <w:pPr>
              <w:pStyle w:val="Compact"/>
              <w:jc w:val="right"/>
            </w:pPr>
            <w:r>
              <w:t xml:space="preserve">56</w:t>
            </w:r>
          </w:p>
        </w:tc>
        <w:tc>
          <w:p>
            <w:pPr>
              <w:pStyle w:val="Compact"/>
              <w:jc w:val="right"/>
            </w:pPr>
            <w:r>
              <w:t xml:space="preserve">12</w:t>
            </w:r>
          </w:p>
        </w:tc>
        <w:tc>
          <w:p>
            <w:pPr>
              <w:pStyle w:val="Compact"/>
              <w:jc w:val="right"/>
            </w:pPr>
            <w:r>
              <w:t xml:space="preserve">117</w:t>
            </w:r>
          </w:p>
        </w:tc>
      </w:tr>
      <w:tr>
        <w:tc>
          <w:p>
            <w:pPr>
              <w:pStyle w:val="Compact"/>
              <w:jc w:val="right"/>
            </w:pPr>
            <w:r>
              <w:t xml:space="preserve">2011</w:t>
            </w:r>
          </w:p>
        </w:tc>
        <w:tc>
          <w:p>
            <w:pPr>
              <w:pStyle w:val="Compact"/>
              <w:jc w:val="right"/>
            </w:pPr>
            <w:r>
              <w:t xml:space="preserve">48</w:t>
            </w:r>
          </w:p>
        </w:tc>
        <w:tc>
          <w:p>
            <w:pPr>
              <w:pStyle w:val="Compact"/>
              <w:jc w:val="right"/>
            </w:pPr>
            <w:r>
              <w:t xml:space="preserve">177</w:t>
            </w:r>
          </w:p>
        </w:tc>
        <w:tc>
          <w:p>
            <w:pPr>
              <w:pStyle w:val="Compact"/>
              <w:jc w:val="right"/>
            </w:pPr>
            <w:r>
              <w:t xml:space="preserve">22</w:t>
            </w:r>
          </w:p>
        </w:tc>
        <w:tc>
          <w:p>
            <w:pPr>
              <w:pStyle w:val="Compact"/>
              <w:jc w:val="right"/>
            </w:pPr>
            <w:r>
              <w:t xml:space="preserve">4</w:t>
            </w:r>
          </w:p>
        </w:tc>
        <w:tc>
          <w:p>
            <w:pPr>
              <w:pStyle w:val="Compact"/>
              <w:jc w:val="right"/>
            </w:pPr>
            <w:r>
              <w:t xml:space="preserve">54</w:t>
            </w:r>
          </w:p>
        </w:tc>
      </w:tr>
      <w:tr>
        <w:tc>
          <w:p>
            <w:pPr>
              <w:pStyle w:val="Compact"/>
              <w:jc w:val="right"/>
            </w:pPr>
            <w:r>
              <w:t xml:space="preserve">2012</w:t>
            </w:r>
          </w:p>
        </w:tc>
        <w:tc>
          <w:p>
            <w:pPr>
              <w:pStyle w:val="Compact"/>
              <w:jc w:val="right"/>
            </w:pPr>
            <w:r>
              <w:t xml:space="preserve">21</w:t>
            </w:r>
          </w:p>
        </w:tc>
        <w:tc>
          <w:p>
            <w:pPr>
              <w:pStyle w:val="Compact"/>
              <w:jc w:val="right"/>
            </w:pPr>
            <w:r>
              <w:t xml:space="preserve">85</w:t>
            </w:r>
          </w:p>
        </w:tc>
        <w:tc>
          <w:p>
            <w:pPr>
              <w:pStyle w:val="Compact"/>
              <w:jc w:val="right"/>
            </w:pPr>
            <w:r>
              <w:t xml:space="preserve">24</w:t>
            </w:r>
          </w:p>
        </w:tc>
        <w:tc>
          <w:p>
            <w:pPr>
              <w:pStyle w:val="Compact"/>
              <w:jc w:val="right"/>
            </w:pPr>
            <w:r>
              <w:t xml:space="preserve">18</w:t>
            </w:r>
          </w:p>
        </w:tc>
        <w:tc>
          <w:p>
            <w:pPr>
              <w:pStyle w:val="Compact"/>
              <w:jc w:val="right"/>
            </w:pPr>
            <w:r>
              <w:t xml:space="preserve">8</w:t>
            </w:r>
          </w:p>
        </w:tc>
      </w:tr>
      <w:tr>
        <w:tc>
          <w:p>
            <w:pPr>
              <w:pStyle w:val="Compact"/>
              <w:jc w:val="right"/>
            </w:pPr>
            <w:r>
              <w:t xml:space="preserve">2013</w:t>
            </w:r>
          </w:p>
        </w:tc>
        <w:tc>
          <w:p>
            <w:pPr>
              <w:pStyle w:val="Compact"/>
              <w:jc w:val="right"/>
            </w:pPr>
            <w:r>
              <w:t xml:space="preserve">20</w:t>
            </w:r>
          </w:p>
        </w:tc>
        <w:tc>
          <w:p>
            <w:pPr>
              <w:pStyle w:val="Compact"/>
              <w:jc w:val="right"/>
            </w:pPr>
            <w:r>
              <w:t xml:space="preserve">103</w:t>
            </w:r>
          </w:p>
        </w:tc>
        <w:tc>
          <w:p>
            <w:pPr>
              <w:pStyle w:val="Compact"/>
              <w:jc w:val="right"/>
            </w:pPr>
            <w:r>
              <w:t xml:space="preserve">30</w:t>
            </w:r>
          </w:p>
        </w:tc>
        <w:tc>
          <w:p>
            <w:pPr>
              <w:pStyle w:val="Compact"/>
              <w:jc w:val="right"/>
            </w:pPr>
            <w:r>
              <w:t xml:space="preserve">17</w:t>
            </w:r>
          </w:p>
        </w:tc>
        <w:tc>
          <w:p>
            <w:pPr>
              <w:pStyle w:val="Compact"/>
              <w:jc w:val="right"/>
            </w:pPr>
            <w:r>
              <w:t xml:space="preserve">4</w:t>
            </w:r>
          </w:p>
        </w:tc>
      </w:tr>
      <w:tr>
        <w:tc>
          <w:p>
            <w:pPr>
              <w:pStyle w:val="Compact"/>
              <w:jc w:val="right"/>
            </w:pPr>
            <w:r>
              <w:t xml:space="preserve">2014</w:t>
            </w:r>
          </w:p>
        </w:tc>
        <w:tc>
          <w:p>
            <w:pPr>
              <w:pStyle w:val="Compact"/>
              <w:jc w:val="right"/>
            </w:pPr>
            <w:r>
              <w:t xml:space="preserve">22</w:t>
            </w:r>
          </w:p>
        </w:tc>
        <w:tc>
          <w:p>
            <w:pPr>
              <w:pStyle w:val="Compact"/>
              <w:jc w:val="right"/>
            </w:pPr>
            <w:r>
              <w:t xml:space="preserve">132</w:t>
            </w:r>
          </w:p>
        </w:tc>
        <w:tc>
          <w:p>
            <w:pPr>
              <w:pStyle w:val="Compact"/>
              <w:jc w:val="right"/>
            </w:pPr>
            <w:r>
              <w:t xml:space="preserve">32</w:t>
            </w:r>
          </w:p>
        </w:tc>
        <w:tc>
          <w:p>
            <w:pPr>
              <w:pStyle w:val="Compact"/>
              <w:jc w:val="right"/>
            </w:pPr>
            <w:r>
              <w:t xml:space="preserve">2</w:t>
            </w:r>
          </w:p>
        </w:tc>
        <w:tc>
          <w:p>
            <w:pPr>
              <w:pStyle w:val="Compact"/>
              <w:jc w:val="right"/>
            </w:pPr>
            <w:r>
              <w:t xml:space="preserve">1</w:t>
            </w:r>
          </w:p>
        </w:tc>
      </w:tr>
    </w:tbl>
    <w:p>
      <w:pPr>
        <w:pStyle w:val="BodyText"/>
      </w:pPr>
      <w:r>
        <w:t xml:space="preserve">The time series of cod landings by regulated gear type in the cod long term management plan is shown in Figure 4. Landings of the three main gear groups, TR1 - otter trawlers with cod ends &gt;99mm, TR2 - otter trawlers with cod ends 70-99mm and BT2 - beam trawlers with cod ends 70-99mm all show significant declines in landings over the time series.</w:t>
      </w:r>
    </w:p>
    <w:p>
      <w:pPr>
        <w:pStyle w:val="BodyText"/>
      </w:pPr>
      <w:r>
        <w:drawing>
          <wp:inline>
            <wp:extent cx="5334000" cy="3804012"/>
            <wp:effectExtent b="0" l="0" r="0" t="0"/>
            <wp:docPr descr="" id="1" name="Picture"/>
            <a:graphic>
              <a:graphicData uri="http://schemas.openxmlformats.org/drawingml/2006/picture">
                <pic:pic>
                  <pic:nvPicPr>
                    <pic:cNvPr descr="summary_of_fisheries_data_files/figure-docx/unnamed-chunk-5-1.png" id="0" name="Picture"/>
                    <pic:cNvPicPr>
                      <a:picLocks noChangeArrowheads="1" noChangeAspect="1"/>
                    </pic:cNvPicPr>
                  </pic:nvPicPr>
                  <pic:blipFill>
                    <a:blip r:embed="rId27"/>
                    <a:stretch>
                      <a:fillRect/>
                    </a:stretch>
                  </pic:blipFill>
                  <pic:spPr bwMode="auto">
                    <a:xfrm>
                      <a:off x="0" y="0"/>
                      <a:ext cx="5334000" cy="380401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Time series cod landings in VIIa by gear from the STECF database.</w:t>
      </w:r>
    </w:p>
    <w:p>
      <w:pPr>
        <w:pStyle w:val="BodyText"/>
      </w:pPr>
      <w:r>
        <w:t xml:space="preserve">The effort metric reported by rectangle in the STECF database is hours fished. How this is estimated across different member states may differ. In Ireland it is based on hours reported in the logbooks and this has in the past been strongly correlated with other effort metrics (e.g. days fished, days at sea, KwDays). Effort of the three main cod catching gears all show declining trends over the time serise. The largest decline has been in the TR1 gear group where effort has droped from 200khrs in 2003 to 11khrs in 2014.</w:t>
      </w:r>
    </w:p>
    <w:p>
      <w:pPr>
        <w:pStyle w:val="BodyText"/>
      </w:pPr>
      <w:r>
        <w:t xml:space="preserve">The highest reported lpue has been in the TR1 gear group (with and average annual lpue of 6.3kg/hr. Lpue showed and increasing trend up to 2009 but has declined thereafter to 2.7kg/hr. The lowest lpue throughought the time serise has been in the TR2 gear group with a mean lpue of 0.6kg/hr. This gear group includes the</w:t>
      </w:r>
      <w:r>
        <w:t xml:space="preserve"> </w:t>
      </w:r>
      <w:r>
        <w:rPr>
          <w:i/>
        </w:rPr>
        <w:t xml:space="preserve">Nephrops</w:t>
      </w:r>
      <w:r>
        <w:t xml:space="preserve"> </w:t>
      </w:r>
      <w:r>
        <w:t xml:space="preserve">métier and accounts for the majority of the cod catching effort in VIIa (note there is significant effort in pot and dredge fisheries in VIIa but cod catches tend to be very minor).</w:t>
      </w:r>
    </w:p>
    <w:p>
      <w:pPr>
        <w:pStyle w:val="BodyText"/>
      </w:pPr>
      <w:r>
        <w:drawing>
          <wp:inline>
            <wp:extent cx="5334000" cy="3804012"/>
            <wp:effectExtent b="0" l="0" r="0" t="0"/>
            <wp:docPr descr="" id="1" name="Picture"/>
            <a:graphic>
              <a:graphicData uri="http://schemas.openxmlformats.org/drawingml/2006/picture">
                <pic:pic>
                  <pic:nvPicPr>
                    <pic:cNvPr descr="summary_of_fisheries_data_files/figure-docx/unnamed-chunk-6-1.png" id="0" name="Picture"/>
                    <pic:cNvPicPr>
                      <a:picLocks noChangeArrowheads="1" noChangeAspect="1"/>
                    </pic:cNvPicPr>
                  </pic:nvPicPr>
                  <pic:blipFill>
                    <a:blip r:embed="rId28"/>
                    <a:stretch>
                      <a:fillRect/>
                    </a:stretch>
                  </pic:blipFill>
                  <pic:spPr bwMode="auto">
                    <a:xfrm>
                      <a:off x="0" y="0"/>
                      <a:ext cx="5334000" cy="3804012"/>
                    </a:xfrm>
                    <a:prstGeom prst="rect">
                      <a:avLst/>
                    </a:prstGeom>
                    <a:noFill/>
                    <a:ln w="9525">
                      <a:noFill/>
                      <a:headEnd/>
                      <a:tailEnd/>
                    </a:ln>
                  </pic:spPr>
                </pic:pic>
              </a:graphicData>
            </a:graphic>
          </wp:inline>
        </w:drawing>
      </w:r>
      <w:r>
        <w:t xml:space="preserve"> </w:t>
      </w:r>
      <w:r>
        <w:drawing>
          <wp:inline>
            <wp:extent cx="5334000" cy="3804012"/>
            <wp:effectExtent b="0" l="0" r="0" t="0"/>
            <wp:docPr descr="" id="1" name="Picture"/>
            <a:graphic>
              <a:graphicData uri="http://schemas.openxmlformats.org/drawingml/2006/picture">
                <pic:pic>
                  <pic:nvPicPr>
                    <pic:cNvPr descr="summary_of_fisheries_data_files/figure-docx/unnamed-chunk-6-2.png" id="0" name="Picture"/>
                    <pic:cNvPicPr>
                      <a:picLocks noChangeArrowheads="1" noChangeAspect="1"/>
                    </pic:cNvPicPr>
                  </pic:nvPicPr>
                  <pic:blipFill>
                    <a:blip r:embed="rId29"/>
                    <a:stretch>
                      <a:fillRect/>
                    </a:stretch>
                  </pic:blipFill>
                  <pic:spPr bwMode="auto">
                    <a:xfrm>
                      <a:off x="0" y="0"/>
                      <a:ext cx="5334000" cy="3804012"/>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Time series effort (top panel) and cod lpue (bottom panel) in VIIa for main cod catching gears from the STECF database.</w:t>
      </w:r>
    </w:p>
    <w:p>
      <w:pPr>
        <w:pStyle w:val="BodyText"/>
      </w:pPr>
      <w:r>
        <w:rPr>
          <w:b/>
        </w:rPr>
        <w:t xml:space="preserve">Table 2.</w:t>
      </w:r>
      <w:r>
        <w:t xml:space="preserve"> </w:t>
      </w:r>
      <w:r>
        <w:t xml:space="preserve">Time series of effort in hours fished for the main cod landing gears in VIIa.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BT2</w:t>
            </w:r>
          </w:p>
        </w:tc>
        <w:tc>
          <w:tcPr>
            <w:tcBorders>
              <w:bottom w:val="single"/>
            </w:tcBorders>
            <w:vAlign w:val="bottom"/>
          </w:tcPr>
          <w:p>
            <w:pPr>
              <w:pStyle w:val="Compact"/>
              <w:jc w:val="right"/>
            </w:pPr>
            <w:r>
              <w:t xml:space="preserve">TR1</w:t>
            </w:r>
          </w:p>
        </w:tc>
        <w:tc>
          <w:tcPr>
            <w:tcBorders>
              <w:bottom w:val="single"/>
            </w:tcBorders>
            <w:vAlign w:val="bottom"/>
          </w:tcPr>
          <w:p>
            <w:pPr>
              <w:pStyle w:val="Compact"/>
              <w:jc w:val="right"/>
            </w:pPr>
            <w:r>
              <w:t xml:space="preserve">TR2</w:t>
            </w:r>
          </w:p>
        </w:tc>
      </w:tr>
      <w:tr>
        <w:tc>
          <w:p>
            <w:pPr>
              <w:pStyle w:val="Compact"/>
              <w:jc w:val="right"/>
            </w:pPr>
            <w:r>
              <w:t xml:space="preserve">2003</w:t>
            </w:r>
          </w:p>
        </w:tc>
        <w:tc>
          <w:p>
            <w:pPr>
              <w:pStyle w:val="Compact"/>
              <w:jc w:val="right"/>
            </w:pPr>
            <w:r>
              <w:t xml:space="preserve">80307</w:t>
            </w:r>
          </w:p>
        </w:tc>
        <w:tc>
          <w:p>
            <w:pPr>
              <w:pStyle w:val="Compact"/>
              <w:jc w:val="right"/>
            </w:pPr>
            <w:r>
              <w:t xml:space="preserve">199813</w:t>
            </w:r>
          </w:p>
        </w:tc>
        <w:tc>
          <w:p>
            <w:pPr>
              <w:pStyle w:val="Compact"/>
              <w:jc w:val="right"/>
            </w:pPr>
            <w:r>
              <w:t xml:space="preserve">462426</w:t>
            </w:r>
          </w:p>
        </w:tc>
      </w:tr>
      <w:tr>
        <w:tc>
          <w:p>
            <w:pPr>
              <w:pStyle w:val="Compact"/>
              <w:jc w:val="right"/>
            </w:pPr>
            <w:r>
              <w:t xml:space="preserve">2004</w:t>
            </w:r>
          </w:p>
        </w:tc>
        <w:tc>
          <w:p>
            <w:pPr>
              <w:pStyle w:val="Compact"/>
              <w:jc w:val="right"/>
            </w:pPr>
            <w:r>
              <w:t xml:space="preserve">50934</w:t>
            </w:r>
          </w:p>
        </w:tc>
        <w:tc>
          <w:p>
            <w:pPr>
              <w:pStyle w:val="Compact"/>
              <w:jc w:val="right"/>
            </w:pPr>
            <w:r>
              <w:t xml:space="preserve">95286</w:t>
            </w:r>
          </w:p>
        </w:tc>
        <w:tc>
          <w:p>
            <w:pPr>
              <w:pStyle w:val="Compact"/>
              <w:jc w:val="right"/>
            </w:pPr>
            <w:r>
              <w:t xml:space="preserve">479966</w:t>
            </w:r>
          </w:p>
        </w:tc>
      </w:tr>
      <w:tr>
        <w:tc>
          <w:p>
            <w:pPr>
              <w:pStyle w:val="Compact"/>
              <w:jc w:val="right"/>
            </w:pPr>
            <w:r>
              <w:t xml:space="preserve">2005</w:t>
            </w:r>
          </w:p>
        </w:tc>
        <w:tc>
          <w:p>
            <w:pPr>
              <w:pStyle w:val="Compact"/>
              <w:jc w:val="right"/>
            </w:pPr>
            <w:r>
              <w:t xml:space="preserve">64193</w:t>
            </w:r>
          </w:p>
        </w:tc>
        <w:tc>
          <w:p>
            <w:pPr>
              <w:pStyle w:val="Compact"/>
              <w:jc w:val="right"/>
            </w:pPr>
            <w:r>
              <w:t xml:space="preserve">65990</w:t>
            </w:r>
          </w:p>
        </w:tc>
        <w:tc>
          <w:p>
            <w:pPr>
              <w:pStyle w:val="Compact"/>
              <w:jc w:val="right"/>
            </w:pPr>
            <w:r>
              <w:t xml:space="preserve">481598</w:t>
            </w:r>
          </w:p>
        </w:tc>
      </w:tr>
      <w:tr>
        <w:tc>
          <w:p>
            <w:pPr>
              <w:pStyle w:val="Compact"/>
              <w:jc w:val="right"/>
            </w:pPr>
            <w:r>
              <w:t xml:space="preserve">2006</w:t>
            </w:r>
          </w:p>
        </w:tc>
        <w:tc>
          <w:p>
            <w:pPr>
              <w:pStyle w:val="Compact"/>
              <w:jc w:val="right"/>
            </w:pPr>
            <w:r>
              <w:t xml:space="preserve">43734</w:t>
            </w:r>
          </w:p>
        </w:tc>
        <w:tc>
          <w:p>
            <w:pPr>
              <w:pStyle w:val="Compact"/>
              <w:jc w:val="right"/>
            </w:pPr>
            <w:r>
              <w:t xml:space="preserve">56189</w:t>
            </w:r>
          </w:p>
        </w:tc>
        <w:tc>
          <w:p>
            <w:pPr>
              <w:pStyle w:val="Compact"/>
              <w:jc w:val="right"/>
            </w:pPr>
            <w:r>
              <w:t xml:space="preserve">434786</w:t>
            </w:r>
          </w:p>
        </w:tc>
      </w:tr>
      <w:tr>
        <w:tc>
          <w:p>
            <w:pPr>
              <w:pStyle w:val="Compact"/>
              <w:jc w:val="right"/>
            </w:pPr>
            <w:r>
              <w:t xml:space="preserve">2007</w:t>
            </w:r>
          </w:p>
        </w:tc>
        <w:tc>
          <w:p>
            <w:pPr>
              <w:pStyle w:val="Compact"/>
              <w:jc w:val="right"/>
            </w:pPr>
            <w:r>
              <w:t xml:space="preserve">38104</w:t>
            </w:r>
          </w:p>
        </w:tc>
        <w:tc>
          <w:p>
            <w:pPr>
              <w:pStyle w:val="Compact"/>
              <w:jc w:val="right"/>
            </w:pPr>
            <w:r>
              <w:t xml:space="preserve">29246</w:t>
            </w:r>
          </w:p>
        </w:tc>
        <w:tc>
          <w:p>
            <w:pPr>
              <w:pStyle w:val="Compact"/>
              <w:jc w:val="right"/>
            </w:pPr>
            <w:r>
              <w:t xml:space="preserve">466768</w:t>
            </w:r>
          </w:p>
        </w:tc>
      </w:tr>
      <w:tr>
        <w:tc>
          <w:p>
            <w:pPr>
              <w:pStyle w:val="Compact"/>
              <w:jc w:val="right"/>
            </w:pPr>
            <w:r>
              <w:t xml:space="preserve">2008</w:t>
            </w:r>
          </w:p>
        </w:tc>
        <w:tc>
          <w:p>
            <w:pPr>
              <w:pStyle w:val="Compact"/>
              <w:jc w:val="right"/>
            </w:pPr>
            <w:r>
              <w:t xml:space="preserve">22654</w:t>
            </w:r>
          </w:p>
        </w:tc>
        <w:tc>
          <w:p>
            <w:pPr>
              <w:pStyle w:val="Compact"/>
              <w:jc w:val="right"/>
            </w:pPr>
            <w:r>
              <w:t xml:space="preserve">33737</w:t>
            </w:r>
          </w:p>
        </w:tc>
        <w:tc>
          <w:p>
            <w:pPr>
              <w:pStyle w:val="Compact"/>
              <w:jc w:val="right"/>
            </w:pPr>
            <w:r>
              <w:t xml:space="preserve">473688</w:t>
            </w:r>
          </w:p>
        </w:tc>
      </w:tr>
      <w:tr>
        <w:tc>
          <w:p>
            <w:pPr>
              <w:pStyle w:val="Compact"/>
              <w:jc w:val="right"/>
            </w:pPr>
            <w:r>
              <w:t xml:space="preserve">2009</w:t>
            </w:r>
          </w:p>
        </w:tc>
        <w:tc>
          <w:p>
            <w:pPr>
              <w:pStyle w:val="Compact"/>
              <w:jc w:val="right"/>
            </w:pPr>
            <w:r>
              <w:t xml:space="preserve">20018</w:t>
            </w:r>
          </w:p>
        </w:tc>
        <w:tc>
          <w:p>
            <w:pPr>
              <w:pStyle w:val="Compact"/>
              <w:jc w:val="right"/>
            </w:pPr>
            <w:r>
              <w:t xml:space="preserve">27977</w:t>
            </w:r>
          </w:p>
        </w:tc>
        <w:tc>
          <w:p>
            <w:pPr>
              <w:pStyle w:val="Compact"/>
              <w:jc w:val="right"/>
            </w:pPr>
            <w:r>
              <w:t xml:space="preserve">437311</w:t>
            </w:r>
          </w:p>
        </w:tc>
      </w:tr>
      <w:tr>
        <w:tc>
          <w:p>
            <w:pPr>
              <w:pStyle w:val="Compact"/>
              <w:jc w:val="right"/>
            </w:pPr>
            <w:r>
              <w:t xml:space="preserve">2010</w:t>
            </w:r>
          </w:p>
        </w:tc>
        <w:tc>
          <w:p>
            <w:pPr>
              <w:pStyle w:val="Compact"/>
              <w:jc w:val="right"/>
            </w:pPr>
            <w:r>
              <w:t xml:space="preserve">21201</w:t>
            </w:r>
          </w:p>
        </w:tc>
        <w:tc>
          <w:p>
            <w:pPr>
              <w:pStyle w:val="Compact"/>
              <w:jc w:val="right"/>
            </w:pPr>
            <w:r>
              <w:t xml:space="preserve">26697</w:t>
            </w:r>
          </w:p>
        </w:tc>
        <w:tc>
          <w:p>
            <w:pPr>
              <w:pStyle w:val="Compact"/>
              <w:jc w:val="right"/>
            </w:pPr>
            <w:r>
              <w:t xml:space="preserve">381351</w:t>
            </w:r>
          </w:p>
        </w:tc>
      </w:tr>
      <w:tr>
        <w:tc>
          <w:p>
            <w:pPr>
              <w:pStyle w:val="Compact"/>
              <w:jc w:val="right"/>
            </w:pPr>
            <w:r>
              <w:t xml:space="preserve">2011</w:t>
            </w:r>
          </w:p>
        </w:tc>
        <w:tc>
          <w:p>
            <w:pPr>
              <w:pStyle w:val="Compact"/>
              <w:jc w:val="right"/>
            </w:pPr>
            <w:r>
              <w:t xml:space="preserve">24011</w:t>
            </w:r>
          </w:p>
        </w:tc>
        <w:tc>
          <w:p>
            <w:pPr>
              <w:pStyle w:val="Compact"/>
              <w:jc w:val="right"/>
            </w:pPr>
            <w:r>
              <w:t xml:space="preserve">14511</w:t>
            </w:r>
          </w:p>
        </w:tc>
        <w:tc>
          <w:p>
            <w:pPr>
              <w:pStyle w:val="Compact"/>
              <w:jc w:val="right"/>
            </w:pPr>
            <w:r>
              <w:t xml:space="preserve">402018</w:t>
            </w:r>
          </w:p>
        </w:tc>
      </w:tr>
      <w:tr>
        <w:tc>
          <w:p>
            <w:pPr>
              <w:pStyle w:val="Compact"/>
              <w:jc w:val="right"/>
            </w:pPr>
            <w:r>
              <w:t xml:space="preserve">2012</w:t>
            </w:r>
          </w:p>
        </w:tc>
        <w:tc>
          <w:p>
            <w:pPr>
              <w:pStyle w:val="Compact"/>
              <w:jc w:val="right"/>
            </w:pPr>
            <w:r>
              <w:t xml:space="preserve">19769</w:t>
            </w:r>
          </w:p>
        </w:tc>
        <w:tc>
          <w:p>
            <w:pPr>
              <w:pStyle w:val="Compact"/>
              <w:jc w:val="right"/>
            </w:pPr>
            <w:r>
              <w:t xml:space="preserve">11452</w:t>
            </w:r>
          </w:p>
        </w:tc>
        <w:tc>
          <w:p>
            <w:pPr>
              <w:pStyle w:val="Compact"/>
              <w:jc w:val="right"/>
            </w:pPr>
            <w:r>
              <w:t xml:space="preserve">420501</w:t>
            </w:r>
          </w:p>
        </w:tc>
      </w:tr>
      <w:tr>
        <w:tc>
          <w:p>
            <w:pPr>
              <w:pStyle w:val="Compact"/>
              <w:jc w:val="right"/>
            </w:pPr>
            <w:r>
              <w:t xml:space="preserve">2013</w:t>
            </w:r>
          </w:p>
        </w:tc>
        <w:tc>
          <w:p>
            <w:pPr>
              <w:pStyle w:val="Compact"/>
              <w:jc w:val="right"/>
            </w:pPr>
            <w:r>
              <w:t xml:space="preserve">12015</w:t>
            </w:r>
          </w:p>
        </w:tc>
        <w:tc>
          <w:p>
            <w:pPr>
              <w:pStyle w:val="Compact"/>
              <w:jc w:val="right"/>
            </w:pPr>
            <w:r>
              <w:t xml:space="preserve">13205</w:t>
            </w:r>
          </w:p>
        </w:tc>
        <w:tc>
          <w:p>
            <w:pPr>
              <w:pStyle w:val="Compact"/>
              <w:jc w:val="right"/>
            </w:pPr>
            <w:r>
              <w:t xml:space="preserve">387397</w:t>
            </w:r>
          </w:p>
        </w:tc>
      </w:tr>
      <w:tr>
        <w:tc>
          <w:p>
            <w:pPr>
              <w:pStyle w:val="Compact"/>
              <w:jc w:val="right"/>
            </w:pPr>
            <w:r>
              <w:t xml:space="preserve">2014</w:t>
            </w:r>
          </w:p>
        </w:tc>
        <w:tc>
          <w:p>
            <w:pPr>
              <w:pStyle w:val="Compact"/>
              <w:jc w:val="right"/>
            </w:pPr>
            <w:r>
              <w:t xml:space="preserve">10036</w:t>
            </w:r>
          </w:p>
        </w:tc>
        <w:tc>
          <w:p>
            <w:pPr>
              <w:pStyle w:val="Compact"/>
              <w:jc w:val="right"/>
            </w:pPr>
            <w:r>
              <w:t xml:space="preserve">10716</w:t>
            </w:r>
          </w:p>
        </w:tc>
        <w:tc>
          <w:p>
            <w:pPr>
              <w:pStyle w:val="Compact"/>
              <w:jc w:val="right"/>
            </w:pPr>
            <w:r>
              <w:t xml:space="preserve">364809</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cc06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www.ices.dk/sites/pub/Publication%20Reports/Advice/2014/2014/cod-iris.pdf" TargetMode="External" /><Relationship Type="http://schemas.openxmlformats.org/officeDocument/2006/relationships/hyperlink" Id="rId21" Target="https://datacollection.jrc.ec.europa.eu/dd/effort/maps" TargetMode="External" /></Relationships>
</file>

<file path=word/_rels/footnotes.xml.rels><?xml version="1.0" encoding="UTF-8"?>
<Relationships xmlns="http://schemas.openxmlformats.org/package/2006/relationships"><Relationship Type="http://schemas.openxmlformats.org/officeDocument/2006/relationships/hyperlink" Id="rId23" Target="http://www.ices.dk/sites/pub/Publication%20Reports/Advice/2014/2014/cod-iris.pdf" TargetMode="External" /><Relationship Type="http://schemas.openxmlformats.org/officeDocument/2006/relationships/hyperlink" Id="rId21" Target="https://datacollection.jrc.ec.europa.eu/dd/effort/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 fisheries data summary</dc:title>
  <dc:creator>Colm Lordan</dc:creator>
</cp:coreProperties>
</file>