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28"/>
          <w:szCs w:val="28"/>
          <w:lang w:val="en-US" w:eastAsia="zh-CN"/>
        </w:rPr>
      </w:pPr>
      <w:r>
        <w:rPr>
          <w:rFonts w:hint="eastAsia"/>
          <w:sz w:val="28"/>
          <w:szCs w:val="28"/>
          <w:lang w:val="en-US" w:eastAsia="zh-CN"/>
        </w:rPr>
        <w:t>新冠疫情下医药板块的数据</w:t>
      </w:r>
      <w:bookmarkStart w:id="0" w:name="_GoBack"/>
      <w:bookmarkEnd w:id="0"/>
      <w:r>
        <w:rPr>
          <w:rFonts w:hint="eastAsia"/>
          <w:sz w:val="28"/>
          <w:szCs w:val="28"/>
          <w:lang w:val="en-US" w:eastAsia="zh-CN"/>
        </w:rPr>
        <w:t>分析</w:t>
      </w:r>
    </w:p>
    <w:p>
      <w:pPr>
        <w:jc w:val="both"/>
        <w:rPr>
          <w:rFonts w:hint="default"/>
          <w:sz w:val="28"/>
          <w:szCs w:val="28"/>
          <w:lang w:val="en-US" w:eastAsia="zh-CN"/>
        </w:rPr>
      </w:pPr>
      <w:r>
        <w:rPr>
          <w:rFonts w:hint="eastAsia"/>
          <w:sz w:val="28"/>
          <w:szCs w:val="28"/>
          <w:lang w:val="en-US" w:eastAsia="zh-CN"/>
        </w:rPr>
        <w:t>一、问题背景：新冠疫情下，医药板块受到影响较大</w:t>
      </w:r>
    </w:p>
    <w:p>
      <w:pPr>
        <w:ind w:firstLine="560"/>
        <w:rPr>
          <w:rFonts w:hint="eastAsia"/>
          <w:sz w:val="28"/>
          <w:szCs w:val="28"/>
        </w:rPr>
      </w:pPr>
      <w:r>
        <w:rPr>
          <w:rFonts w:hint="eastAsia"/>
          <w:sz w:val="28"/>
          <w:szCs w:val="28"/>
        </w:rPr>
        <w:t>自2019年12月武汉首先发现新型以来，新冠病毒疫情逐渐成为全社会的焦点，这一场突如其来的疫情改变了大家的工作和生活。确诊病例规模不断增加，全球已经超过百万，传染性极强、涉及人口规模大，医疗行业首当其冲。</w:t>
      </w:r>
    </w:p>
    <w:p>
      <w:pPr>
        <w:ind w:firstLine="560"/>
        <w:rPr>
          <w:rFonts w:hint="eastAsia"/>
          <w:sz w:val="28"/>
          <w:szCs w:val="28"/>
          <w:lang w:val="en-US" w:eastAsia="zh-CN"/>
        </w:rPr>
      </w:pPr>
      <w:r>
        <w:rPr>
          <w:rFonts w:hint="eastAsia"/>
          <w:sz w:val="28"/>
          <w:szCs w:val="28"/>
        </w:rPr>
        <w:t>这场突如其来的疫情对各行业都带来巨大的影响。有的行业在危机中找到了机会发展的很好。有的行业就深陷危机正在寻求转机。医药行业</w:t>
      </w:r>
      <w:r>
        <w:rPr>
          <w:rFonts w:hint="eastAsia"/>
          <w:sz w:val="28"/>
          <w:szCs w:val="28"/>
          <w:lang w:val="en-US" w:eastAsia="zh-CN"/>
        </w:rPr>
        <w:t>也</w:t>
      </w:r>
      <w:r>
        <w:rPr>
          <w:rFonts w:hint="eastAsia"/>
          <w:sz w:val="28"/>
          <w:szCs w:val="28"/>
        </w:rPr>
        <w:t>受新冠疫情的影响，得到了前所未有的关注。</w:t>
      </w:r>
    </w:p>
    <w:p>
      <w:pPr>
        <w:ind w:firstLine="560" w:firstLineChars="200"/>
        <w:rPr>
          <w:rFonts w:hint="default"/>
          <w:sz w:val="28"/>
          <w:szCs w:val="28"/>
          <w:lang w:val="en-US" w:eastAsia="zh-CN"/>
        </w:rPr>
      </w:pPr>
      <w:r>
        <w:rPr>
          <w:rFonts w:hint="eastAsia"/>
          <w:sz w:val="28"/>
          <w:szCs w:val="28"/>
        </w:rPr>
        <w:t>　</w:t>
      </w:r>
      <w:r>
        <w:rPr>
          <w:rFonts w:hint="default"/>
          <w:sz w:val="28"/>
          <w:szCs w:val="28"/>
          <w:lang w:val="en-US" w:eastAsia="zh-CN"/>
        </w:rPr>
        <w:t>医药板块</w:t>
      </w:r>
      <w:r>
        <w:rPr>
          <w:rFonts w:hint="eastAsia"/>
          <w:sz w:val="28"/>
          <w:szCs w:val="28"/>
          <w:lang w:val="en-US" w:eastAsia="zh-CN"/>
        </w:rPr>
        <w:t>的火热</w:t>
      </w:r>
      <w:r>
        <w:rPr>
          <w:rFonts w:hint="default"/>
          <w:sz w:val="28"/>
          <w:szCs w:val="28"/>
          <w:lang w:val="en-US" w:eastAsia="zh-CN"/>
        </w:rPr>
        <w:t>吸引了广大投资者眼球</w:t>
      </w:r>
      <w:r>
        <w:rPr>
          <w:rFonts w:hint="eastAsia"/>
          <w:sz w:val="28"/>
          <w:szCs w:val="28"/>
          <w:lang w:val="en-US" w:eastAsia="zh-CN"/>
        </w:rPr>
        <w:t>，</w:t>
      </w:r>
      <w:r>
        <w:rPr>
          <w:rFonts w:hint="eastAsia"/>
          <w:sz w:val="28"/>
          <w:szCs w:val="28"/>
        </w:rPr>
        <w:t>尤其是口罩、呼吸机概念等表现得非常强势。</w:t>
      </w:r>
      <w:r>
        <w:rPr>
          <w:rFonts w:hint="default"/>
          <w:sz w:val="28"/>
          <w:szCs w:val="28"/>
          <w:lang w:val="en-US" w:eastAsia="zh-CN"/>
        </w:rPr>
        <w:t>医疗行业从投资人视角可以简单归类为研发/生产型，服务型，商业型几大类; 他们都受到了不同程度的影响;其中服务型受影响最剧，因为需求减少，其次是研发/生产型，除了需求减少外，还有很多成本支出，比如房租、人员等等;商业型企业的“TOP LINE”也受到影响相对较小，但是宏观环境影响了现金流，具体体现在比如如授信、账期等因素上，因此也受到了一定的行业冲击。骆怡天表示：“但是反过来说，这次疫情中也利好了很多医疗企业。比如，很多分子诊断公司，特别是能够生产C19 对应检测，且在国内其相应产品获得CFDA产品认证的企业，保障疫情的同时业绩一般会有一波高爆发;疫情相关物资类生产型企业以及上述企业的原料供应商。”</w:t>
      </w:r>
    </w:p>
    <w:p>
      <w:pPr>
        <w:rPr>
          <w:rFonts w:hint="default" w:eastAsiaTheme="minorEastAsia"/>
          <w:sz w:val="28"/>
          <w:szCs w:val="28"/>
          <w:lang w:val="en-US" w:eastAsia="zh-CN"/>
        </w:rPr>
      </w:pPr>
      <w:r>
        <w:rPr>
          <w:rFonts w:hint="eastAsia"/>
          <w:sz w:val="28"/>
          <w:szCs w:val="28"/>
          <w:lang w:val="en-US" w:eastAsia="zh-CN"/>
        </w:rPr>
        <w:t>医药板块受到影响主要是以下几个方面：</w:t>
      </w:r>
    </w:p>
    <w:p>
      <w:pPr>
        <w:rPr>
          <w:rFonts w:hint="eastAsia"/>
          <w:sz w:val="28"/>
          <w:szCs w:val="28"/>
        </w:rPr>
      </w:pPr>
      <w:r>
        <w:rPr>
          <w:rFonts w:hint="eastAsia"/>
          <w:sz w:val="28"/>
          <w:szCs w:val="28"/>
          <w:lang w:eastAsia="zh-CN"/>
        </w:rPr>
        <w:t>（</w:t>
      </w:r>
      <w:r>
        <w:rPr>
          <w:rFonts w:hint="eastAsia"/>
          <w:sz w:val="28"/>
          <w:szCs w:val="28"/>
          <w:lang w:val="en-US" w:eastAsia="zh-CN"/>
        </w:rPr>
        <w:t>一</w:t>
      </w:r>
      <w:r>
        <w:rPr>
          <w:rFonts w:hint="eastAsia"/>
          <w:sz w:val="28"/>
          <w:szCs w:val="28"/>
          <w:lang w:eastAsia="zh-CN"/>
        </w:rPr>
        <w:t>）</w:t>
      </w:r>
      <w:r>
        <w:rPr>
          <w:rFonts w:hint="eastAsia"/>
          <w:sz w:val="28"/>
          <w:szCs w:val="28"/>
        </w:rPr>
        <w:t>短期带来波动的子领域</w:t>
      </w:r>
    </w:p>
    <w:p>
      <w:pPr>
        <w:rPr>
          <w:rFonts w:hint="eastAsia"/>
          <w:sz w:val="28"/>
          <w:szCs w:val="28"/>
        </w:rPr>
      </w:pPr>
      <w:r>
        <w:rPr>
          <w:rFonts w:hint="eastAsia"/>
          <w:sz w:val="28"/>
          <w:szCs w:val="28"/>
        </w:rPr>
        <w:t>1、疫情期间，公众健康防护需求陡然增加，医疗机构用于抢救和维持生命的器械也会有所增加。如口罩这类产品疫情发生后，出门必戴。这可能带动此类产品终端的零售药店销售额大幅增长， 而疫情结束后，增速也会随之回落。</w:t>
      </w:r>
    </w:p>
    <w:p>
      <w:pPr>
        <w:rPr>
          <w:rFonts w:hint="eastAsia"/>
          <w:sz w:val="28"/>
          <w:szCs w:val="28"/>
        </w:rPr>
      </w:pPr>
      <w:r>
        <w:rPr>
          <w:rFonts w:hint="eastAsia"/>
          <w:sz w:val="28"/>
          <w:szCs w:val="28"/>
        </w:rPr>
        <w:t>2、经过这次的疫情，民众自我防护意识增强，会大量的储备感冒/抗病毒类药物药物，因此短时间内此类药品销售额会大幅增加， 疫情过后销售额会逐渐回落平稳。</w:t>
      </w:r>
    </w:p>
    <w:p>
      <w:pPr>
        <w:rPr>
          <w:rFonts w:hint="eastAsia"/>
          <w:sz w:val="28"/>
          <w:szCs w:val="28"/>
        </w:rPr>
      </w:pPr>
      <w:r>
        <w:rPr>
          <w:rFonts w:hint="eastAsia"/>
          <w:sz w:val="28"/>
          <w:szCs w:val="28"/>
          <w:lang w:eastAsia="zh-CN"/>
        </w:rPr>
        <w:t>（</w:t>
      </w:r>
      <w:r>
        <w:rPr>
          <w:rFonts w:hint="eastAsia"/>
          <w:sz w:val="28"/>
          <w:szCs w:val="28"/>
          <w:lang w:val="en-US" w:eastAsia="zh-CN"/>
        </w:rPr>
        <w:t>二</w:t>
      </w:r>
      <w:r>
        <w:rPr>
          <w:rFonts w:hint="eastAsia"/>
          <w:sz w:val="28"/>
          <w:szCs w:val="28"/>
          <w:lang w:eastAsia="zh-CN"/>
        </w:rPr>
        <w:t>）</w:t>
      </w:r>
      <w:r>
        <w:rPr>
          <w:rFonts w:hint="eastAsia"/>
          <w:sz w:val="28"/>
          <w:szCs w:val="28"/>
        </w:rPr>
        <w:t>影响深远的子领域</w:t>
      </w:r>
    </w:p>
    <w:p>
      <w:pPr>
        <w:rPr>
          <w:rFonts w:hint="eastAsia"/>
          <w:sz w:val="28"/>
          <w:szCs w:val="28"/>
        </w:rPr>
      </w:pPr>
      <w:r>
        <w:rPr>
          <w:rFonts w:hint="eastAsia"/>
          <w:sz w:val="28"/>
          <w:szCs w:val="28"/>
        </w:rPr>
        <w:t>1、 检测产品需求</w:t>
      </w:r>
    </w:p>
    <w:p>
      <w:pPr>
        <w:rPr>
          <w:rFonts w:hint="eastAsia"/>
          <w:sz w:val="28"/>
          <w:szCs w:val="28"/>
        </w:rPr>
      </w:pPr>
      <w:r>
        <w:rPr>
          <w:rFonts w:hint="eastAsia"/>
          <w:sz w:val="28"/>
          <w:szCs w:val="28"/>
        </w:rPr>
        <w:t>疫情相关的流感检测、呼吸道检测、治疗性等产品短期类会激增。预计未来可能会带动疫情防控、医院和基层病原微生物分子诊断检测能力进一步提升，相关诊断产品的需求会继续增长，这可能会是为数不多有深远影响的子领域。</w:t>
      </w:r>
    </w:p>
    <w:p>
      <w:pPr>
        <w:rPr>
          <w:rFonts w:hint="eastAsia"/>
          <w:sz w:val="28"/>
          <w:szCs w:val="28"/>
        </w:rPr>
      </w:pPr>
      <w:r>
        <w:rPr>
          <w:rFonts w:hint="eastAsia"/>
          <w:sz w:val="28"/>
          <w:szCs w:val="28"/>
        </w:rPr>
        <w:t>2、 疫苗类需求</w:t>
      </w:r>
    </w:p>
    <w:p>
      <w:pPr>
        <w:rPr>
          <w:rFonts w:hint="eastAsia"/>
          <w:sz w:val="28"/>
          <w:szCs w:val="28"/>
        </w:rPr>
      </w:pPr>
      <w:r>
        <w:rPr>
          <w:rFonts w:hint="eastAsia"/>
          <w:sz w:val="28"/>
          <w:szCs w:val="28"/>
        </w:rPr>
        <w:t>受疫情影响，往后公众对疾病的防患意识会提高。未来国家可能会加大疫苗(肺炎疫苗、流感疫苗等)、血液制品(如免疫球蛋白)、干扰素(如呼吸道雾化治疗)等的扶持</w:t>
      </w:r>
    </w:p>
    <w:p>
      <w:pPr>
        <w:ind w:firstLine="560" w:firstLineChars="200"/>
        <w:rPr>
          <w:rFonts w:hint="eastAsia"/>
          <w:sz w:val="28"/>
          <w:szCs w:val="28"/>
          <w:lang w:val="en-US" w:eastAsia="zh-CN"/>
        </w:rPr>
      </w:pPr>
      <w:r>
        <w:rPr>
          <w:rFonts w:hint="eastAsia"/>
          <w:sz w:val="28"/>
          <w:szCs w:val="28"/>
        </w:rPr>
        <w:t>医药板块在这几个月疫情中的表现总体向上，但个股分化较大。</w:t>
      </w:r>
      <w:r>
        <w:rPr>
          <w:rFonts w:hint="eastAsia"/>
          <w:sz w:val="28"/>
          <w:szCs w:val="28"/>
          <w:lang w:val="en-US" w:eastAsia="zh-CN"/>
        </w:rPr>
        <w:t>本文主要围绕几个医药板块龙头股对新冠疫情下的医药板块涨势进行分析。</w:t>
      </w:r>
    </w:p>
    <w:p>
      <w:pPr>
        <w:numPr>
          <w:ilvl w:val="0"/>
          <w:numId w:val="1"/>
        </w:numPr>
        <w:rPr>
          <w:rFonts w:hint="eastAsia"/>
          <w:sz w:val="28"/>
          <w:szCs w:val="28"/>
          <w:lang w:val="en-US" w:eastAsia="zh-CN"/>
        </w:rPr>
      </w:pPr>
      <w:r>
        <w:rPr>
          <w:rFonts w:hint="eastAsia"/>
          <w:sz w:val="28"/>
          <w:szCs w:val="28"/>
          <w:lang w:val="en-US" w:eastAsia="zh-CN"/>
        </w:rPr>
        <w:t>问题解决</w:t>
      </w:r>
    </w:p>
    <w:p>
      <w:pPr>
        <w:numPr>
          <w:ilvl w:val="0"/>
          <w:numId w:val="0"/>
        </w:numPr>
        <w:ind w:firstLine="560" w:firstLineChars="200"/>
        <w:rPr>
          <w:rFonts w:hint="default"/>
          <w:sz w:val="28"/>
          <w:szCs w:val="28"/>
          <w:lang w:val="en-US" w:eastAsia="zh-CN"/>
        </w:rPr>
      </w:pPr>
      <w:r>
        <w:rPr>
          <w:rFonts w:hint="eastAsia"/>
          <w:sz w:val="28"/>
          <w:szCs w:val="28"/>
          <w:lang w:val="en-US" w:eastAsia="zh-CN"/>
        </w:rPr>
        <w:t>此部分将从消费级医疗需求、创新及创新产业链、医疗器械类中有代表性的几只股票展开具体分析，医药板块在此次疫情当中受到的影响。</w:t>
      </w:r>
    </w:p>
    <w:p>
      <w:pPr>
        <w:numPr>
          <w:ilvl w:val="0"/>
          <w:numId w:val="0"/>
        </w:numPr>
        <w:rPr>
          <w:rFonts w:hint="eastAsia"/>
          <w:sz w:val="28"/>
          <w:szCs w:val="28"/>
          <w:lang w:val="en-US" w:eastAsia="zh-CN"/>
        </w:rPr>
      </w:pPr>
      <w:r>
        <w:rPr>
          <w:rFonts w:hint="eastAsia"/>
          <w:sz w:val="28"/>
          <w:szCs w:val="28"/>
          <w:lang w:val="en-US" w:eastAsia="zh-CN"/>
        </w:rPr>
        <w:t>（一）消费级医疗需求</w:t>
      </w:r>
    </w:p>
    <w:p>
      <w:pPr>
        <w:numPr>
          <w:ilvl w:val="0"/>
          <w:numId w:val="0"/>
        </w:numPr>
        <w:rPr>
          <w:rFonts w:hint="eastAsia"/>
          <w:sz w:val="28"/>
          <w:szCs w:val="28"/>
          <w:lang w:val="en-US" w:eastAsia="zh-CN"/>
        </w:rPr>
      </w:pPr>
      <w:r>
        <w:rPr>
          <w:rFonts w:hint="eastAsia"/>
          <w:sz w:val="28"/>
          <w:szCs w:val="28"/>
          <w:lang w:val="en-US" w:eastAsia="zh-CN"/>
        </w:rPr>
        <w:t>马应龙（600993） 公司是国内最大的治痔类药品生产企业之一，其前身为创建于明朝万历年间(即公元1582年)的马应龙生记药店，已是具有400余年历史的老制药企业。</w:t>
      </w:r>
    </w:p>
    <w:p>
      <w:pPr>
        <w:numPr>
          <w:ilvl w:val="0"/>
          <w:numId w:val="0"/>
        </w:numPr>
        <w:rPr>
          <w:rFonts w:hint="default"/>
          <w:sz w:val="28"/>
          <w:szCs w:val="28"/>
          <w:lang w:val="en-US" w:eastAsia="zh-CN"/>
        </w:rPr>
      </w:pPr>
      <w:r>
        <w:rPr>
          <w:rFonts w:hint="eastAsia"/>
          <w:sz w:val="28"/>
          <w:szCs w:val="28"/>
          <w:lang w:val="en-US" w:eastAsia="zh-CN"/>
        </w:rPr>
        <w:t>1.获取数据</w:t>
      </w:r>
    </w:p>
    <w:p>
      <w:pPr>
        <w:numPr>
          <w:ilvl w:val="0"/>
          <w:numId w:val="0"/>
        </w:numPr>
        <w:rPr>
          <w:rFonts w:hint="default"/>
          <w:sz w:val="24"/>
          <w:szCs w:val="24"/>
          <w:lang w:val="en-US" w:eastAsia="zh-CN"/>
        </w:rPr>
      </w:pPr>
      <w:r>
        <w:rPr>
          <w:rFonts w:hint="default"/>
          <w:sz w:val="24"/>
          <w:szCs w:val="24"/>
          <w:lang w:val="en-US" w:eastAsia="zh-CN"/>
        </w:rPr>
        <w:drawing>
          <wp:inline distT="0" distB="0" distL="114300" distR="114300">
            <wp:extent cx="5273675" cy="1585595"/>
            <wp:effectExtent l="0" t="0" r="9525" b="1905"/>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4"/>
                    <a:stretch>
                      <a:fillRect/>
                    </a:stretch>
                  </pic:blipFill>
                  <pic:spPr>
                    <a:xfrm>
                      <a:off x="0" y="0"/>
                      <a:ext cx="5273675" cy="1585595"/>
                    </a:xfrm>
                    <a:prstGeom prst="rect">
                      <a:avLst/>
                    </a:prstGeom>
                  </pic:spPr>
                </pic:pic>
              </a:graphicData>
            </a:graphic>
          </wp:inline>
        </w:drawing>
      </w:r>
    </w:p>
    <w:p>
      <w:pPr>
        <w:numPr>
          <w:ilvl w:val="0"/>
          <w:numId w:val="0"/>
        </w:numPr>
        <w:rPr>
          <w:rFonts w:hint="default"/>
          <w:sz w:val="24"/>
          <w:szCs w:val="24"/>
          <w:lang w:val="en-US" w:eastAsia="zh-CN"/>
        </w:rPr>
      </w:pPr>
      <w:r>
        <w:rPr>
          <w:rFonts w:hint="eastAsia"/>
          <w:sz w:val="24"/>
          <w:szCs w:val="24"/>
          <w:lang w:val="en-US" w:eastAsia="zh-CN"/>
        </w:rPr>
        <w:t>数据集完整</w:t>
      </w:r>
    </w:p>
    <w:p>
      <w:pPr>
        <w:numPr>
          <w:ilvl w:val="0"/>
          <w:numId w:val="0"/>
        </w:numPr>
        <w:rPr>
          <w:rFonts w:hint="default"/>
          <w:sz w:val="24"/>
          <w:szCs w:val="24"/>
          <w:lang w:val="en-US" w:eastAsia="zh-CN"/>
        </w:rPr>
      </w:pPr>
      <w:r>
        <w:rPr>
          <w:rFonts w:hint="default"/>
          <w:sz w:val="24"/>
          <w:szCs w:val="24"/>
          <w:lang w:val="en-US" w:eastAsia="zh-CN"/>
        </w:rPr>
        <w:drawing>
          <wp:inline distT="0" distB="0" distL="114300" distR="114300">
            <wp:extent cx="3756025" cy="922655"/>
            <wp:effectExtent l="0" t="0" r="3175" b="4445"/>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5"/>
                    <a:srcRect r="28752" b="684"/>
                    <a:stretch>
                      <a:fillRect/>
                    </a:stretch>
                  </pic:blipFill>
                  <pic:spPr>
                    <a:xfrm>
                      <a:off x="0" y="0"/>
                      <a:ext cx="3756025" cy="922655"/>
                    </a:xfrm>
                    <a:prstGeom prst="rect">
                      <a:avLst/>
                    </a:prstGeom>
                  </pic:spPr>
                </pic:pic>
              </a:graphicData>
            </a:graphic>
          </wp:inline>
        </w:drawing>
      </w:r>
    </w:p>
    <w:p>
      <w:pPr>
        <w:numPr>
          <w:ilvl w:val="0"/>
          <w:numId w:val="0"/>
        </w:numPr>
        <w:rPr>
          <w:rFonts w:hint="eastAsia"/>
          <w:sz w:val="24"/>
          <w:szCs w:val="24"/>
          <w:lang w:val="en-US" w:eastAsia="zh-CN"/>
        </w:rPr>
      </w:pPr>
      <w:r>
        <w:rPr>
          <w:rFonts w:hint="eastAsia"/>
          <w:sz w:val="24"/>
          <w:szCs w:val="24"/>
          <w:lang w:val="en-US" w:eastAsia="zh-CN"/>
        </w:rPr>
        <w:t>时间：2020-01-01——2020-06-24（此序列默认，以下该图表省略）</w:t>
      </w:r>
    </w:p>
    <w:p>
      <w:pPr>
        <w:numPr>
          <w:ilvl w:val="0"/>
          <w:numId w:val="0"/>
        </w:numPr>
        <w:rPr>
          <w:rFonts w:hint="eastAsia"/>
          <w:sz w:val="24"/>
          <w:szCs w:val="24"/>
          <w:lang w:val="en-US" w:eastAsia="zh-CN"/>
        </w:rPr>
      </w:pPr>
      <w:r>
        <w:rPr>
          <w:rFonts w:hint="eastAsia"/>
          <w:sz w:val="24"/>
          <w:szCs w:val="24"/>
          <w:lang w:val="en-US" w:eastAsia="zh-CN"/>
        </w:rPr>
        <w:drawing>
          <wp:inline distT="0" distB="0" distL="114300" distR="114300">
            <wp:extent cx="3923030" cy="1496695"/>
            <wp:effectExtent l="0" t="0" r="1270" b="1905"/>
            <wp:docPr id="3" name="图片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
                    <pic:cNvPicPr>
                      <a:picLocks noChangeAspect="1"/>
                    </pic:cNvPicPr>
                  </pic:nvPicPr>
                  <pic:blipFill>
                    <a:blip r:embed="rId6"/>
                    <a:srcRect r="25575" b="841"/>
                    <a:stretch>
                      <a:fillRect/>
                    </a:stretch>
                  </pic:blipFill>
                  <pic:spPr>
                    <a:xfrm>
                      <a:off x="0" y="0"/>
                      <a:ext cx="3923030" cy="1496695"/>
                    </a:xfrm>
                    <a:prstGeom prst="rect">
                      <a:avLst/>
                    </a:prstGeom>
                  </pic:spPr>
                </pic:pic>
              </a:graphicData>
            </a:graphic>
          </wp:inline>
        </w:drawing>
      </w:r>
    </w:p>
    <w:p>
      <w:pPr>
        <w:numPr>
          <w:ilvl w:val="0"/>
          <w:numId w:val="0"/>
        </w:numPr>
        <w:rPr>
          <w:rFonts w:hint="eastAsia"/>
          <w:sz w:val="24"/>
          <w:szCs w:val="24"/>
          <w:lang w:val="en-US" w:eastAsia="zh-CN"/>
        </w:rPr>
      </w:pPr>
      <w:r>
        <w:rPr>
          <w:rFonts w:hint="eastAsia"/>
          <w:sz w:val="24"/>
          <w:szCs w:val="24"/>
          <w:lang w:val="en-US" w:eastAsia="zh-CN"/>
        </w:rPr>
        <w:t>马应龙公司2020年以来股票的详细描述信息</w:t>
      </w:r>
    </w:p>
    <w:p>
      <w:pPr>
        <w:numPr>
          <w:ilvl w:val="0"/>
          <w:numId w:val="0"/>
        </w:numPr>
        <w:rPr>
          <w:rFonts w:hint="eastAsia"/>
          <w:sz w:val="28"/>
          <w:szCs w:val="28"/>
          <w:lang w:val="en-US" w:eastAsia="zh-CN"/>
        </w:rPr>
      </w:pPr>
    </w:p>
    <w:p>
      <w:pPr>
        <w:numPr>
          <w:ilvl w:val="0"/>
          <w:numId w:val="0"/>
        </w:numPr>
        <w:rPr>
          <w:rFonts w:hint="eastAsia"/>
          <w:sz w:val="24"/>
          <w:szCs w:val="24"/>
          <w:lang w:val="en-US" w:eastAsia="zh-CN"/>
        </w:rPr>
      </w:pPr>
      <w:r>
        <w:rPr>
          <w:rFonts w:hint="eastAsia"/>
          <w:sz w:val="24"/>
          <w:szCs w:val="24"/>
          <w:lang w:val="en-US" w:eastAsia="zh-CN"/>
        </w:rPr>
        <w:drawing>
          <wp:inline distT="0" distB="0" distL="114300" distR="114300">
            <wp:extent cx="5273675" cy="1966595"/>
            <wp:effectExtent l="0" t="0" r="9525" b="1905"/>
            <wp:docPr id="4" name="图片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4"/>
                    <pic:cNvPicPr>
                      <a:picLocks noChangeAspect="1"/>
                    </pic:cNvPicPr>
                  </pic:nvPicPr>
                  <pic:blipFill>
                    <a:blip r:embed="rId7"/>
                    <a:srcRect r="-22312" b="-389"/>
                    <a:stretch>
                      <a:fillRect/>
                    </a:stretch>
                  </pic:blipFill>
                  <pic:spPr>
                    <a:xfrm>
                      <a:off x="0" y="0"/>
                      <a:ext cx="5273675" cy="1966595"/>
                    </a:xfrm>
                    <a:prstGeom prst="rect">
                      <a:avLst/>
                    </a:prstGeom>
                  </pic:spPr>
                </pic:pic>
              </a:graphicData>
            </a:graphic>
          </wp:inline>
        </w:drawing>
      </w:r>
    </w:p>
    <w:p>
      <w:pPr>
        <w:numPr>
          <w:ilvl w:val="0"/>
          <w:numId w:val="0"/>
        </w:numPr>
        <w:rPr>
          <w:rFonts w:hint="default"/>
          <w:sz w:val="24"/>
          <w:szCs w:val="24"/>
          <w:lang w:val="en-US" w:eastAsia="zh-CN"/>
        </w:rPr>
      </w:pPr>
      <w:r>
        <w:rPr>
          <w:rFonts w:hint="eastAsia"/>
          <w:sz w:val="24"/>
          <w:szCs w:val="24"/>
          <w:lang w:val="en-US" w:eastAsia="zh-CN"/>
        </w:rPr>
        <w:t>DAX指数图表信息</w:t>
      </w:r>
    </w:p>
    <w:p>
      <w:pPr>
        <w:numPr>
          <w:ilvl w:val="0"/>
          <w:numId w:val="0"/>
        </w:numPr>
        <w:jc w:val="left"/>
        <w:rPr>
          <w:rFonts w:hint="default"/>
          <w:sz w:val="24"/>
          <w:szCs w:val="24"/>
          <w:lang w:val="en-US" w:eastAsia="zh-CN"/>
        </w:rPr>
      </w:pPr>
      <w:r>
        <w:rPr>
          <w:rFonts w:hint="eastAsia"/>
          <w:sz w:val="24"/>
          <w:szCs w:val="24"/>
          <w:lang w:val="en-US" w:eastAsia="zh-CN"/>
        </w:rPr>
        <w:drawing>
          <wp:inline distT="0" distB="0" distL="114300" distR="114300">
            <wp:extent cx="5266690" cy="2670175"/>
            <wp:effectExtent l="0" t="0" r="3810" b="9525"/>
            <wp:docPr id="27" name="图片 27"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2"/>
                    <pic:cNvPicPr>
                      <a:picLocks noChangeAspect="1"/>
                    </pic:cNvPicPr>
                  </pic:nvPicPr>
                  <pic:blipFill>
                    <a:blip r:embed="rId8"/>
                    <a:stretch>
                      <a:fillRect/>
                    </a:stretch>
                  </pic:blipFill>
                  <pic:spPr>
                    <a:xfrm>
                      <a:off x="0" y="0"/>
                      <a:ext cx="5266690" cy="2670175"/>
                    </a:xfrm>
                    <a:prstGeom prst="rect">
                      <a:avLst/>
                    </a:prstGeom>
                  </pic:spPr>
                </pic:pic>
              </a:graphicData>
            </a:graphic>
          </wp:inline>
        </w:drawing>
      </w:r>
      <w:r>
        <w:rPr>
          <w:rFonts w:hint="eastAsia"/>
          <w:sz w:val="24"/>
          <w:szCs w:val="24"/>
          <w:lang w:val="en-US" w:eastAsia="zh-CN"/>
        </w:rPr>
        <w:t xml:space="preserve">DAX </w:t>
      </w:r>
      <w:r>
        <w:rPr>
          <w:rFonts w:hint="default"/>
          <w:sz w:val="24"/>
          <w:szCs w:val="24"/>
          <w:lang w:val="en-US" w:eastAsia="zh-CN"/>
        </w:rPr>
        <w:t>指</w:t>
      </w:r>
      <w:r>
        <w:rPr>
          <w:rFonts w:hint="eastAsia"/>
          <w:sz w:val="24"/>
          <w:szCs w:val="24"/>
          <w:lang w:val="en-US" w:eastAsia="zh-CN"/>
        </w:rPr>
        <w:t>数</w:t>
      </w:r>
      <w:r>
        <w:rPr>
          <w:rFonts w:hint="default"/>
          <w:sz w:val="24"/>
          <w:szCs w:val="24"/>
          <w:lang w:val="en-US" w:eastAsia="zh-CN"/>
        </w:rPr>
        <w:t>和每日指数收益</w:t>
      </w:r>
    </w:p>
    <w:p>
      <w:pPr>
        <w:numPr>
          <w:ilvl w:val="0"/>
          <w:numId w:val="0"/>
        </w:numPr>
        <w:rPr>
          <w:rFonts w:hint="eastAsia"/>
          <w:sz w:val="28"/>
          <w:szCs w:val="28"/>
          <w:lang w:val="en-US" w:eastAsia="zh-CN"/>
        </w:rPr>
      </w:pPr>
      <w:r>
        <w:rPr>
          <w:rFonts w:hint="eastAsia"/>
          <w:sz w:val="28"/>
          <w:szCs w:val="28"/>
          <w:lang w:val="en-US" w:eastAsia="zh-CN"/>
        </w:rPr>
        <w:t>期权交易者更喜欢的话题，对数收益率的移动历史标准差一一即移动历史波动</w:t>
      </w:r>
    </w:p>
    <w:p>
      <w:pPr>
        <w:numPr>
          <w:ilvl w:val="0"/>
          <w:numId w:val="0"/>
        </w:numPr>
        <w:rPr>
          <w:rFonts w:hint="default"/>
          <w:sz w:val="28"/>
          <w:szCs w:val="28"/>
          <w:lang w:val="en-US" w:eastAsia="zh-CN"/>
        </w:rPr>
      </w:pPr>
      <w:r>
        <w:rPr>
          <w:rFonts w:hint="eastAsia"/>
          <w:sz w:val="28"/>
          <w:szCs w:val="28"/>
          <w:lang w:val="en-US" w:eastAsia="zh-CN"/>
        </w:rPr>
        <w:t>由对数收益率可以看出，疫情初期公司收益率收到短暂影响，稍有下降，但不久后趋为平缓，近期收益率有所上升。</w:t>
      </w:r>
    </w:p>
    <w:p>
      <w:pPr>
        <w:numPr>
          <w:ilvl w:val="0"/>
          <w:numId w:val="0"/>
        </w:numPr>
        <w:rPr>
          <w:rFonts w:hint="default"/>
          <w:sz w:val="24"/>
          <w:szCs w:val="24"/>
          <w:lang w:val="en-US" w:eastAsia="zh-CN"/>
        </w:rPr>
      </w:pPr>
      <w:r>
        <w:rPr>
          <w:rFonts w:hint="default"/>
          <w:sz w:val="24"/>
          <w:szCs w:val="24"/>
          <w:lang w:val="en-US" w:eastAsia="zh-CN"/>
        </w:rPr>
        <w:drawing>
          <wp:inline distT="0" distB="0" distL="114300" distR="114300">
            <wp:extent cx="5273675" cy="2602230"/>
            <wp:effectExtent l="0" t="0" r="9525" b="1270"/>
            <wp:docPr id="28" name="图片 28"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3"/>
                    <pic:cNvPicPr>
                      <a:picLocks noChangeAspect="1"/>
                    </pic:cNvPicPr>
                  </pic:nvPicPr>
                  <pic:blipFill>
                    <a:blip r:embed="rId9"/>
                    <a:stretch>
                      <a:fillRect/>
                    </a:stretch>
                  </pic:blipFill>
                  <pic:spPr>
                    <a:xfrm>
                      <a:off x="0" y="0"/>
                      <a:ext cx="5273675" cy="2602230"/>
                    </a:xfrm>
                    <a:prstGeom prst="rect">
                      <a:avLst/>
                    </a:prstGeom>
                  </pic:spPr>
                </pic:pic>
              </a:graphicData>
            </a:graphic>
          </wp:inline>
        </w:drawing>
      </w:r>
      <w:r>
        <w:rPr>
          <w:rFonts w:hint="default"/>
          <w:sz w:val="24"/>
          <w:szCs w:val="24"/>
          <w:lang w:val="en-US" w:eastAsia="zh-CN"/>
        </w:rPr>
        <w:t>DAX 指数及移动平均值</w:t>
      </w:r>
    </w:p>
    <w:p>
      <w:pPr>
        <w:numPr>
          <w:ilvl w:val="0"/>
          <w:numId w:val="0"/>
        </w:numPr>
        <w:rPr>
          <w:rFonts w:hint="default"/>
          <w:sz w:val="24"/>
          <w:szCs w:val="24"/>
          <w:lang w:val="en-US" w:eastAsia="zh-CN"/>
        </w:rPr>
      </w:pPr>
      <w:r>
        <w:rPr>
          <w:rFonts w:hint="default"/>
          <w:sz w:val="24"/>
          <w:szCs w:val="24"/>
          <w:lang w:val="en-US" w:eastAsia="zh-CN"/>
        </w:rPr>
        <w:drawing>
          <wp:inline distT="0" distB="0" distL="114300" distR="114300">
            <wp:extent cx="5267325" cy="2999105"/>
            <wp:effectExtent l="0" t="0" r="3175" b="10795"/>
            <wp:docPr id="46" name="图片 46" descr="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7.1"/>
                    <pic:cNvPicPr>
                      <a:picLocks noChangeAspect="1"/>
                    </pic:cNvPicPr>
                  </pic:nvPicPr>
                  <pic:blipFill>
                    <a:blip r:embed="rId10"/>
                    <a:stretch>
                      <a:fillRect/>
                    </a:stretch>
                  </pic:blipFill>
                  <pic:spPr>
                    <a:xfrm>
                      <a:off x="0" y="0"/>
                      <a:ext cx="5267325" cy="2999105"/>
                    </a:xfrm>
                    <a:prstGeom prst="rect">
                      <a:avLst/>
                    </a:prstGeom>
                  </pic:spPr>
                </pic:pic>
              </a:graphicData>
            </a:graphic>
          </wp:inline>
        </w:drawing>
      </w:r>
    </w:p>
    <w:p>
      <w:pPr>
        <w:numPr>
          <w:ilvl w:val="0"/>
          <w:numId w:val="0"/>
        </w:numPr>
        <w:rPr>
          <w:rFonts w:hint="default"/>
          <w:sz w:val="28"/>
          <w:szCs w:val="28"/>
          <w:lang w:val="en-US" w:eastAsia="zh-CN"/>
        </w:rPr>
      </w:pPr>
      <w:r>
        <w:rPr>
          <w:rFonts w:hint="eastAsia"/>
          <w:sz w:val="28"/>
          <w:szCs w:val="28"/>
          <w:lang w:val="en-US" w:eastAsia="zh-CN"/>
        </w:rPr>
        <w:t>2.数据分析</w:t>
      </w:r>
    </w:p>
    <w:p>
      <w:pPr>
        <w:numPr>
          <w:ilvl w:val="0"/>
          <w:numId w:val="0"/>
        </w:numPr>
        <w:rPr>
          <w:rFonts w:hint="default"/>
          <w:sz w:val="28"/>
          <w:szCs w:val="28"/>
          <w:lang w:val="en-US" w:eastAsia="zh-CN"/>
        </w:rPr>
      </w:pPr>
      <w:r>
        <w:rPr>
          <w:rFonts w:hint="eastAsia"/>
          <w:sz w:val="28"/>
          <w:szCs w:val="28"/>
          <w:lang w:val="en-US" w:eastAsia="zh-CN"/>
        </w:rPr>
        <w:t>由此看出，作为拥有百年历史的传统创新企业来说，收到了一定的疫情的影响，在疫情较为严重的中前期，马应龙公司的营收出现大幅下滑的情况，但在疫情较为缓和后，营业额迅速一路回升。同时，作为消费级医疗需求的一家公司，在疫情之后，居民的改善型需求的提升（改善性需求源于居民对美好生活的向往），健康领域的消费升级催生相关需求进一步提升，近期，马应龙股票出现涨停的态势。比去年同期，营业额更有提升。</w:t>
      </w:r>
    </w:p>
    <w:p>
      <w:pPr>
        <w:numPr>
          <w:ilvl w:val="0"/>
          <w:numId w:val="2"/>
        </w:numPr>
        <w:rPr>
          <w:rFonts w:hint="eastAsia"/>
          <w:sz w:val="28"/>
          <w:szCs w:val="28"/>
          <w:lang w:val="en-US" w:eastAsia="zh-CN"/>
        </w:rPr>
      </w:pPr>
      <w:r>
        <w:rPr>
          <w:rFonts w:hint="eastAsia"/>
          <w:sz w:val="28"/>
          <w:szCs w:val="28"/>
          <w:lang w:val="en-US" w:eastAsia="zh-CN"/>
        </w:rPr>
        <w:t>创新及创新产业链</w:t>
      </w:r>
    </w:p>
    <w:p>
      <w:pPr>
        <w:numPr>
          <w:ilvl w:val="0"/>
          <w:numId w:val="3"/>
        </w:numPr>
        <w:rPr>
          <w:rFonts w:hint="eastAsia"/>
          <w:sz w:val="28"/>
          <w:szCs w:val="28"/>
          <w:lang w:val="en-US" w:eastAsia="zh-CN"/>
        </w:rPr>
      </w:pPr>
      <w:r>
        <w:rPr>
          <w:rFonts w:hint="eastAsia"/>
          <w:sz w:val="28"/>
          <w:szCs w:val="28"/>
          <w:lang w:val="en-US" w:eastAsia="zh-CN"/>
        </w:rPr>
        <w:t>国药股份（600511）</w:t>
      </w:r>
    </w:p>
    <w:p>
      <w:pPr>
        <w:numPr>
          <w:ilvl w:val="0"/>
          <w:numId w:val="0"/>
        </w:numPr>
        <w:ind w:firstLine="560" w:firstLineChars="200"/>
        <w:rPr>
          <w:rFonts w:hint="eastAsia"/>
          <w:sz w:val="28"/>
          <w:szCs w:val="28"/>
          <w:lang w:val="en-US" w:eastAsia="zh-CN"/>
        </w:rPr>
      </w:pPr>
      <w:r>
        <w:rPr>
          <w:rFonts w:hint="eastAsia"/>
          <w:sz w:val="28"/>
          <w:szCs w:val="28"/>
          <w:lang w:val="en-US" w:eastAsia="zh-CN"/>
        </w:rPr>
        <w:t>公</w:t>
      </w:r>
      <w:r>
        <w:rPr>
          <w:rFonts w:hint="default"/>
          <w:sz w:val="28"/>
          <w:szCs w:val="28"/>
          <w:lang w:val="en-US" w:eastAsia="zh-CN"/>
        </w:rPr>
        <w:t>司是北京地区医药分销商，也是全国最大的麻醉药批发企业。公司是国家指定的麻醉药品、一类精神药品唯一的一级经销商，具有很强的垄断性</w:t>
      </w:r>
      <w:r>
        <w:rPr>
          <w:rFonts w:hint="eastAsia"/>
          <w:sz w:val="28"/>
          <w:szCs w:val="28"/>
          <w:lang w:val="en-US" w:eastAsia="zh-CN"/>
        </w:rPr>
        <w:t>。</w:t>
      </w:r>
    </w:p>
    <w:p>
      <w:pPr>
        <w:numPr>
          <w:ilvl w:val="0"/>
          <w:numId w:val="0"/>
        </w:numPr>
        <w:rPr>
          <w:rFonts w:hint="eastAsia"/>
          <w:sz w:val="24"/>
          <w:szCs w:val="24"/>
          <w:lang w:val="en-US" w:eastAsia="zh-CN"/>
        </w:rPr>
      </w:pPr>
      <w:r>
        <w:rPr>
          <w:rFonts w:hint="eastAsia"/>
          <w:sz w:val="28"/>
          <w:szCs w:val="28"/>
          <w:lang w:val="en-US" w:eastAsia="zh-CN"/>
        </w:rPr>
        <w:t>（1）获取数据</w:t>
      </w:r>
    </w:p>
    <w:p>
      <w:pPr>
        <w:numPr>
          <w:ilvl w:val="0"/>
          <w:numId w:val="0"/>
        </w:numPr>
        <w:rPr>
          <w:rFonts w:hint="eastAsia"/>
          <w:sz w:val="24"/>
          <w:szCs w:val="24"/>
          <w:lang w:val="en-US" w:eastAsia="zh-CN"/>
        </w:rPr>
      </w:pPr>
      <w:r>
        <w:rPr>
          <w:rFonts w:hint="eastAsia"/>
          <w:sz w:val="24"/>
          <w:szCs w:val="24"/>
          <w:lang w:val="en-US" w:eastAsia="zh-CN"/>
        </w:rPr>
        <w:drawing>
          <wp:inline distT="0" distB="0" distL="114300" distR="114300">
            <wp:extent cx="5272405" cy="1831340"/>
            <wp:effectExtent l="0" t="0" r="10795" b="10160"/>
            <wp:docPr id="12" name="图片 12"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1"/>
                    <pic:cNvPicPr>
                      <a:picLocks noChangeAspect="1"/>
                    </pic:cNvPicPr>
                  </pic:nvPicPr>
                  <pic:blipFill>
                    <a:blip r:embed="rId11"/>
                    <a:stretch>
                      <a:fillRect/>
                    </a:stretch>
                  </pic:blipFill>
                  <pic:spPr>
                    <a:xfrm>
                      <a:off x="0" y="0"/>
                      <a:ext cx="5272405" cy="1831340"/>
                    </a:xfrm>
                    <a:prstGeom prst="rect">
                      <a:avLst/>
                    </a:prstGeom>
                  </pic:spPr>
                </pic:pic>
              </a:graphicData>
            </a:graphic>
          </wp:inline>
        </w:drawing>
      </w:r>
    </w:p>
    <w:p>
      <w:pPr>
        <w:numPr>
          <w:ilvl w:val="0"/>
          <w:numId w:val="0"/>
        </w:numPr>
        <w:rPr>
          <w:rFonts w:hint="eastAsia"/>
          <w:sz w:val="24"/>
          <w:szCs w:val="24"/>
          <w:lang w:val="en-US" w:eastAsia="zh-CN"/>
        </w:rPr>
      </w:pPr>
      <w:r>
        <w:rPr>
          <w:rFonts w:hint="eastAsia"/>
          <w:sz w:val="24"/>
          <w:szCs w:val="24"/>
          <w:lang w:val="en-US" w:eastAsia="zh-CN"/>
        </w:rPr>
        <w:t>时间：2019-6-01——2020-06-24</w:t>
      </w:r>
    </w:p>
    <w:p>
      <w:pPr>
        <w:numPr>
          <w:ilvl w:val="0"/>
          <w:numId w:val="0"/>
        </w:numPr>
        <w:rPr>
          <w:rFonts w:hint="eastAsia"/>
          <w:sz w:val="24"/>
          <w:szCs w:val="24"/>
          <w:lang w:val="en-US" w:eastAsia="zh-CN"/>
        </w:rPr>
      </w:pPr>
      <w:r>
        <w:rPr>
          <w:rFonts w:hint="eastAsia"/>
          <w:sz w:val="24"/>
          <w:szCs w:val="24"/>
          <w:lang w:val="en-US" w:eastAsia="zh-CN"/>
        </w:rPr>
        <w:drawing>
          <wp:inline distT="0" distB="0" distL="114300" distR="114300">
            <wp:extent cx="5271770" cy="2976880"/>
            <wp:effectExtent l="0" t="0" r="11430" b="7620"/>
            <wp:docPr id="11" name="图片 11"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2"/>
                    <pic:cNvPicPr>
                      <a:picLocks noChangeAspect="1"/>
                    </pic:cNvPicPr>
                  </pic:nvPicPr>
                  <pic:blipFill>
                    <a:blip r:embed="rId12"/>
                    <a:stretch>
                      <a:fillRect/>
                    </a:stretch>
                  </pic:blipFill>
                  <pic:spPr>
                    <a:xfrm>
                      <a:off x="0" y="0"/>
                      <a:ext cx="5271770" cy="2976880"/>
                    </a:xfrm>
                    <a:prstGeom prst="rect">
                      <a:avLst/>
                    </a:prstGeom>
                  </pic:spPr>
                </pic:pic>
              </a:graphicData>
            </a:graphic>
          </wp:inline>
        </w:drawing>
      </w:r>
    </w:p>
    <w:p>
      <w:pPr>
        <w:numPr>
          <w:ilvl w:val="0"/>
          <w:numId w:val="0"/>
        </w:numPr>
        <w:rPr>
          <w:rFonts w:hint="eastAsia"/>
          <w:sz w:val="24"/>
          <w:szCs w:val="24"/>
          <w:lang w:val="en-US" w:eastAsia="zh-CN"/>
        </w:rPr>
      </w:pPr>
      <w:r>
        <w:rPr>
          <w:rFonts w:hint="eastAsia"/>
          <w:sz w:val="24"/>
          <w:szCs w:val="24"/>
          <w:lang w:val="en-US" w:eastAsia="zh-CN"/>
        </w:rPr>
        <w:t>DAX指数图表信息</w:t>
      </w:r>
    </w:p>
    <w:p>
      <w:pPr>
        <w:numPr>
          <w:ilvl w:val="0"/>
          <w:numId w:val="0"/>
        </w:numPr>
        <w:rPr>
          <w:rFonts w:hint="eastAsia"/>
          <w:sz w:val="24"/>
          <w:szCs w:val="24"/>
          <w:lang w:val="en-US" w:eastAsia="zh-CN"/>
        </w:rPr>
      </w:pPr>
      <w:r>
        <w:rPr>
          <w:rFonts w:hint="eastAsia"/>
          <w:sz w:val="24"/>
          <w:szCs w:val="24"/>
          <w:lang w:val="en-US" w:eastAsia="zh-CN"/>
        </w:rPr>
        <w:drawing>
          <wp:inline distT="0" distB="0" distL="114300" distR="114300">
            <wp:extent cx="5271770" cy="2582545"/>
            <wp:effectExtent l="0" t="0" r="11430" b="8255"/>
            <wp:docPr id="10" name="图片 10"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3"/>
                    <pic:cNvPicPr>
                      <a:picLocks noChangeAspect="1"/>
                    </pic:cNvPicPr>
                  </pic:nvPicPr>
                  <pic:blipFill>
                    <a:blip r:embed="rId13"/>
                    <a:stretch>
                      <a:fillRect/>
                    </a:stretch>
                  </pic:blipFill>
                  <pic:spPr>
                    <a:xfrm>
                      <a:off x="0" y="0"/>
                      <a:ext cx="5271770" cy="2582545"/>
                    </a:xfrm>
                    <a:prstGeom prst="rect">
                      <a:avLst/>
                    </a:prstGeom>
                  </pic:spPr>
                </pic:pic>
              </a:graphicData>
            </a:graphic>
          </wp:inline>
        </w:drawing>
      </w:r>
    </w:p>
    <w:p>
      <w:pPr>
        <w:numPr>
          <w:ilvl w:val="0"/>
          <w:numId w:val="0"/>
        </w:numPr>
        <w:rPr>
          <w:rFonts w:hint="default"/>
          <w:sz w:val="24"/>
          <w:szCs w:val="24"/>
          <w:lang w:val="en-US" w:eastAsia="zh-CN"/>
        </w:rPr>
      </w:pPr>
      <w:r>
        <w:rPr>
          <w:rFonts w:hint="eastAsia"/>
          <w:sz w:val="24"/>
          <w:szCs w:val="24"/>
          <w:lang w:val="en-US" w:eastAsia="zh-CN"/>
        </w:rPr>
        <w:t xml:space="preserve">DAX </w:t>
      </w:r>
      <w:r>
        <w:rPr>
          <w:rFonts w:hint="default"/>
          <w:sz w:val="24"/>
          <w:szCs w:val="24"/>
          <w:lang w:val="en-US" w:eastAsia="zh-CN"/>
        </w:rPr>
        <w:t>指</w:t>
      </w:r>
      <w:r>
        <w:rPr>
          <w:rFonts w:hint="eastAsia"/>
          <w:sz w:val="24"/>
          <w:szCs w:val="24"/>
          <w:lang w:val="en-US" w:eastAsia="zh-CN"/>
        </w:rPr>
        <w:t>数</w:t>
      </w:r>
      <w:r>
        <w:rPr>
          <w:rFonts w:hint="default"/>
          <w:sz w:val="24"/>
          <w:szCs w:val="24"/>
          <w:lang w:val="en-US" w:eastAsia="zh-CN"/>
        </w:rPr>
        <w:t>和每日指数收益</w:t>
      </w:r>
    </w:p>
    <w:p>
      <w:pPr>
        <w:numPr>
          <w:ilvl w:val="0"/>
          <w:numId w:val="0"/>
        </w:numPr>
        <w:rPr>
          <w:rFonts w:hint="eastAsia"/>
          <w:sz w:val="24"/>
          <w:szCs w:val="24"/>
          <w:lang w:val="en-US" w:eastAsia="zh-CN"/>
        </w:rPr>
      </w:pPr>
      <w:r>
        <w:rPr>
          <w:rFonts w:hint="eastAsia"/>
          <w:sz w:val="24"/>
          <w:szCs w:val="24"/>
          <w:lang w:val="en-US" w:eastAsia="zh-CN"/>
        </w:rPr>
        <w:drawing>
          <wp:inline distT="0" distB="0" distL="114300" distR="114300">
            <wp:extent cx="5268595" cy="2405380"/>
            <wp:effectExtent l="0" t="0" r="1905" b="7620"/>
            <wp:docPr id="9" name="图片 9"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4"/>
                    <pic:cNvPicPr>
                      <a:picLocks noChangeAspect="1"/>
                    </pic:cNvPicPr>
                  </pic:nvPicPr>
                  <pic:blipFill>
                    <a:blip r:embed="rId14"/>
                    <a:stretch>
                      <a:fillRect/>
                    </a:stretch>
                  </pic:blipFill>
                  <pic:spPr>
                    <a:xfrm>
                      <a:off x="0" y="0"/>
                      <a:ext cx="5268595" cy="2405380"/>
                    </a:xfrm>
                    <a:prstGeom prst="rect">
                      <a:avLst/>
                    </a:prstGeom>
                  </pic:spPr>
                </pic:pic>
              </a:graphicData>
            </a:graphic>
          </wp:inline>
        </w:drawing>
      </w:r>
    </w:p>
    <w:p>
      <w:pPr>
        <w:numPr>
          <w:ilvl w:val="0"/>
          <w:numId w:val="0"/>
        </w:numPr>
        <w:rPr>
          <w:rFonts w:hint="default"/>
          <w:sz w:val="24"/>
          <w:szCs w:val="24"/>
          <w:lang w:val="en-US" w:eastAsia="zh-CN"/>
        </w:rPr>
      </w:pPr>
      <w:r>
        <w:rPr>
          <w:rFonts w:hint="default"/>
          <w:sz w:val="24"/>
          <w:szCs w:val="24"/>
          <w:lang w:val="en-US" w:eastAsia="zh-CN"/>
        </w:rPr>
        <w:t>DAX 指数及移动平均值</w:t>
      </w:r>
    </w:p>
    <w:p>
      <w:pPr>
        <w:numPr>
          <w:ilvl w:val="0"/>
          <w:numId w:val="0"/>
        </w:numPr>
        <w:rPr>
          <w:rFonts w:hint="eastAsia"/>
          <w:sz w:val="24"/>
          <w:szCs w:val="24"/>
          <w:lang w:val="en-US" w:eastAsia="zh-CN"/>
        </w:rPr>
      </w:pPr>
      <w:r>
        <w:rPr>
          <w:rFonts w:hint="eastAsia"/>
          <w:sz w:val="24"/>
          <w:szCs w:val="24"/>
          <w:lang w:val="en-US" w:eastAsia="zh-CN"/>
        </w:rPr>
        <w:drawing>
          <wp:inline distT="0" distB="0" distL="114300" distR="114300">
            <wp:extent cx="5272405" cy="2944495"/>
            <wp:effectExtent l="0" t="0" r="10795" b="1905"/>
            <wp:docPr id="44" name="图片 44" descr="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7.2"/>
                    <pic:cNvPicPr>
                      <a:picLocks noChangeAspect="1"/>
                    </pic:cNvPicPr>
                  </pic:nvPicPr>
                  <pic:blipFill>
                    <a:blip r:embed="rId15"/>
                    <a:stretch>
                      <a:fillRect/>
                    </a:stretch>
                  </pic:blipFill>
                  <pic:spPr>
                    <a:xfrm>
                      <a:off x="0" y="0"/>
                      <a:ext cx="5272405" cy="2944495"/>
                    </a:xfrm>
                    <a:prstGeom prst="rect">
                      <a:avLst/>
                    </a:prstGeom>
                  </pic:spPr>
                </pic:pic>
              </a:graphicData>
            </a:graphic>
          </wp:inline>
        </w:drawing>
      </w:r>
    </w:p>
    <w:p>
      <w:pPr>
        <w:numPr>
          <w:ilvl w:val="0"/>
          <w:numId w:val="0"/>
        </w:numPr>
        <w:rPr>
          <w:rFonts w:hint="default"/>
          <w:sz w:val="24"/>
          <w:szCs w:val="24"/>
          <w:lang w:val="en-US" w:eastAsia="zh-CN"/>
        </w:rPr>
      </w:pPr>
      <w:r>
        <w:rPr>
          <w:rFonts w:hint="eastAsia"/>
          <w:sz w:val="24"/>
          <w:szCs w:val="24"/>
          <w:lang w:val="en-US" w:eastAsia="zh-CN"/>
        </w:rPr>
        <w:t>日K线</w:t>
      </w:r>
    </w:p>
    <w:p>
      <w:pPr>
        <w:numPr>
          <w:ilvl w:val="0"/>
          <w:numId w:val="0"/>
        </w:numPr>
        <w:rPr>
          <w:rFonts w:hint="eastAsia"/>
          <w:sz w:val="28"/>
          <w:szCs w:val="28"/>
          <w:lang w:val="en-US" w:eastAsia="zh-CN"/>
        </w:rPr>
      </w:pPr>
      <w:r>
        <w:rPr>
          <w:rFonts w:hint="eastAsia"/>
          <w:sz w:val="28"/>
          <w:szCs w:val="28"/>
          <w:lang w:val="en-US" w:eastAsia="zh-CN"/>
        </w:rPr>
        <w:t>（2）数据分析</w:t>
      </w:r>
    </w:p>
    <w:p>
      <w:pPr>
        <w:numPr>
          <w:ilvl w:val="0"/>
          <w:numId w:val="0"/>
        </w:numPr>
        <w:ind w:firstLine="560" w:firstLineChars="200"/>
        <w:rPr>
          <w:rFonts w:hint="default"/>
          <w:sz w:val="28"/>
          <w:szCs w:val="28"/>
          <w:lang w:val="en-US" w:eastAsia="zh-CN"/>
        </w:rPr>
      </w:pPr>
      <w:r>
        <w:rPr>
          <w:rFonts w:hint="default"/>
          <w:sz w:val="28"/>
          <w:szCs w:val="28"/>
          <w:lang w:val="en-US" w:eastAsia="zh-CN"/>
        </w:rPr>
        <w:t>国药股份，</w:t>
      </w:r>
      <w:r>
        <w:rPr>
          <w:rFonts w:hint="eastAsia"/>
          <w:sz w:val="28"/>
          <w:szCs w:val="28"/>
          <w:lang w:val="en-US" w:eastAsia="zh-CN"/>
        </w:rPr>
        <w:t>作为</w:t>
      </w:r>
      <w:r>
        <w:rPr>
          <w:rFonts w:hint="default"/>
          <w:sz w:val="28"/>
          <w:szCs w:val="28"/>
          <w:lang w:val="en-US" w:eastAsia="zh-CN"/>
        </w:rPr>
        <w:t>中国唯一的新冠疫情防治领军龙头股。</w:t>
      </w:r>
      <w:r>
        <w:rPr>
          <w:rFonts w:hint="eastAsia"/>
          <w:sz w:val="28"/>
          <w:szCs w:val="28"/>
          <w:lang w:val="en-US" w:eastAsia="zh-CN"/>
        </w:rPr>
        <w:t>通过“防”与“治”参与到今年的新馆疫情的防治工作当中。</w:t>
      </w:r>
      <w:r>
        <w:rPr>
          <w:rFonts w:hint="default"/>
          <w:sz w:val="28"/>
          <w:szCs w:val="28"/>
          <w:lang w:val="en-US" w:eastAsia="zh-CN"/>
        </w:rPr>
        <w:t>“防”：参与囯药集团将要批量生产的两种二期临床揭盲100%产生抗体的新冠灭活疫苗或其他企业能够成功的新冠疫苗的冷链收贮及配送。“治”：国药股份根据卫健委推荐的新冠防治中药方剂“化湿败毒汤”研制的中药颗粒，将要拿到获准批文。这种中药颗粒针对轻中型新冠肺炎的疗效，与莲花清瘟胶囊及莲花清瘟颗粒大致相同。</w:t>
      </w:r>
    </w:p>
    <w:p>
      <w:pPr>
        <w:numPr>
          <w:ilvl w:val="0"/>
          <w:numId w:val="0"/>
        </w:numPr>
        <w:rPr>
          <w:rFonts w:hint="default"/>
          <w:sz w:val="28"/>
          <w:szCs w:val="28"/>
          <w:lang w:val="en-US" w:eastAsia="zh-CN"/>
        </w:rPr>
      </w:pPr>
      <w:r>
        <w:rPr>
          <w:rFonts w:hint="eastAsia"/>
          <w:sz w:val="28"/>
          <w:szCs w:val="28"/>
          <w:lang w:val="en-US" w:eastAsia="zh-CN"/>
        </w:rPr>
        <w:t>通过数据可以看到，作为创新类医药产业的领军股票，国药股份短暂受到疫情影响，但在疫情较为艰难的初期，呈现上涨趋势，并在中期，和疫情结束的近期呈现两拨飞速增长的态势。整体来说，国药股份在疫情期间的走势上升，疫情之后波动率较大，与去年同期相比，涨势十分明显。</w:t>
      </w:r>
    </w:p>
    <w:p>
      <w:pPr>
        <w:numPr>
          <w:ilvl w:val="0"/>
          <w:numId w:val="0"/>
        </w:numPr>
        <w:rPr>
          <w:rFonts w:hint="eastAsia"/>
          <w:sz w:val="28"/>
          <w:szCs w:val="28"/>
          <w:lang w:val="en-US" w:eastAsia="zh-CN"/>
        </w:rPr>
      </w:pPr>
      <w:r>
        <w:rPr>
          <w:rFonts w:hint="eastAsia"/>
          <w:sz w:val="28"/>
          <w:szCs w:val="28"/>
          <w:lang w:val="en-US" w:eastAsia="zh-CN"/>
        </w:rPr>
        <w:t xml:space="preserve">2.太极集团（600129） </w:t>
      </w:r>
    </w:p>
    <w:p>
      <w:pPr>
        <w:numPr>
          <w:ilvl w:val="0"/>
          <w:numId w:val="0"/>
        </w:numPr>
        <w:ind w:firstLine="560" w:firstLineChars="200"/>
        <w:rPr>
          <w:rFonts w:hint="eastAsia"/>
          <w:sz w:val="28"/>
          <w:szCs w:val="28"/>
          <w:lang w:val="en-US" w:eastAsia="zh-CN"/>
        </w:rPr>
      </w:pPr>
      <w:r>
        <w:rPr>
          <w:rFonts w:hint="eastAsia"/>
          <w:sz w:val="28"/>
          <w:szCs w:val="28"/>
          <w:lang w:val="en-US" w:eastAsia="zh-CN"/>
        </w:rPr>
        <w:t>公司主要生产化学原料药及其制剂、抗生素原料药及其制剂、生化药品、中成药、生物制品、中药材、中药饮片、保健食品、医疗器械销售。</w:t>
      </w:r>
    </w:p>
    <w:p>
      <w:pPr>
        <w:numPr>
          <w:ilvl w:val="0"/>
          <w:numId w:val="0"/>
        </w:numPr>
        <w:ind w:firstLine="560" w:firstLineChars="200"/>
        <w:rPr>
          <w:rFonts w:hint="default"/>
          <w:sz w:val="24"/>
          <w:szCs w:val="24"/>
          <w:lang w:val="en-US" w:eastAsia="zh-CN"/>
        </w:rPr>
      </w:pPr>
      <w:r>
        <w:rPr>
          <w:rFonts w:hint="eastAsia"/>
          <w:sz w:val="28"/>
          <w:szCs w:val="28"/>
          <w:lang w:val="en-US" w:eastAsia="zh-CN"/>
        </w:rPr>
        <w:t>（1）获取数据</w:t>
      </w:r>
    </w:p>
    <w:p>
      <w:pPr>
        <w:numPr>
          <w:ilvl w:val="0"/>
          <w:numId w:val="0"/>
        </w:numPr>
        <w:rPr>
          <w:rFonts w:hint="default"/>
          <w:sz w:val="24"/>
          <w:szCs w:val="24"/>
          <w:lang w:val="en-US" w:eastAsia="zh-CN"/>
        </w:rPr>
      </w:pPr>
      <w:r>
        <w:rPr>
          <w:rFonts w:hint="default"/>
          <w:sz w:val="24"/>
          <w:szCs w:val="24"/>
          <w:lang w:val="en-US" w:eastAsia="zh-CN"/>
        </w:rPr>
        <w:drawing>
          <wp:inline distT="0" distB="0" distL="114300" distR="114300">
            <wp:extent cx="5270500" cy="1934210"/>
            <wp:effectExtent l="0" t="0" r="0" b="8890"/>
            <wp:docPr id="16" name="图片 16"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3.1"/>
                    <pic:cNvPicPr>
                      <a:picLocks noChangeAspect="1"/>
                    </pic:cNvPicPr>
                  </pic:nvPicPr>
                  <pic:blipFill>
                    <a:blip r:embed="rId16"/>
                    <a:stretch>
                      <a:fillRect/>
                    </a:stretch>
                  </pic:blipFill>
                  <pic:spPr>
                    <a:xfrm>
                      <a:off x="0" y="0"/>
                      <a:ext cx="5270500" cy="1934210"/>
                    </a:xfrm>
                    <a:prstGeom prst="rect">
                      <a:avLst/>
                    </a:prstGeom>
                  </pic:spPr>
                </pic:pic>
              </a:graphicData>
            </a:graphic>
          </wp:inline>
        </w:drawing>
      </w:r>
    </w:p>
    <w:p>
      <w:pPr>
        <w:numPr>
          <w:ilvl w:val="0"/>
          <w:numId w:val="0"/>
        </w:numPr>
        <w:rPr>
          <w:rFonts w:hint="eastAsia"/>
          <w:sz w:val="24"/>
          <w:szCs w:val="24"/>
          <w:lang w:val="en-US" w:eastAsia="zh-CN"/>
        </w:rPr>
      </w:pPr>
      <w:r>
        <w:rPr>
          <w:rFonts w:hint="eastAsia"/>
          <w:sz w:val="24"/>
          <w:szCs w:val="24"/>
          <w:lang w:val="en-US" w:eastAsia="zh-CN"/>
        </w:rPr>
        <w:t>时间：2019-6-01——2020-06-24</w:t>
      </w:r>
    </w:p>
    <w:p>
      <w:pPr>
        <w:numPr>
          <w:ilvl w:val="0"/>
          <w:numId w:val="0"/>
        </w:numPr>
        <w:rPr>
          <w:rFonts w:hint="default"/>
          <w:sz w:val="24"/>
          <w:szCs w:val="24"/>
          <w:lang w:val="en-US" w:eastAsia="zh-CN"/>
        </w:rPr>
      </w:pPr>
      <w:r>
        <w:rPr>
          <w:rFonts w:hint="default"/>
          <w:sz w:val="24"/>
          <w:szCs w:val="24"/>
          <w:lang w:val="en-US" w:eastAsia="zh-CN"/>
        </w:rPr>
        <w:drawing>
          <wp:inline distT="0" distB="0" distL="114300" distR="114300">
            <wp:extent cx="5266690" cy="2357120"/>
            <wp:effectExtent l="0" t="0" r="3810" b="5080"/>
            <wp:docPr id="15" name="图片 15"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3.2"/>
                    <pic:cNvPicPr>
                      <a:picLocks noChangeAspect="1"/>
                    </pic:cNvPicPr>
                  </pic:nvPicPr>
                  <pic:blipFill>
                    <a:blip r:embed="rId17"/>
                    <a:stretch>
                      <a:fillRect/>
                    </a:stretch>
                  </pic:blipFill>
                  <pic:spPr>
                    <a:xfrm>
                      <a:off x="0" y="0"/>
                      <a:ext cx="5266690" cy="2357120"/>
                    </a:xfrm>
                    <a:prstGeom prst="rect">
                      <a:avLst/>
                    </a:prstGeom>
                  </pic:spPr>
                </pic:pic>
              </a:graphicData>
            </a:graphic>
          </wp:inline>
        </w:drawing>
      </w:r>
    </w:p>
    <w:p>
      <w:pPr>
        <w:numPr>
          <w:ilvl w:val="0"/>
          <w:numId w:val="0"/>
        </w:numPr>
        <w:rPr>
          <w:rFonts w:hint="eastAsia"/>
          <w:sz w:val="24"/>
          <w:szCs w:val="24"/>
          <w:lang w:val="en-US" w:eastAsia="zh-CN"/>
        </w:rPr>
      </w:pPr>
      <w:r>
        <w:rPr>
          <w:rFonts w:hint="eastAsia"/>
          <w:sz w:val="24"/>
          <w:szCs w:val="24"/>
          <w:lang w:val="en-US" w:eastAsia="zh-CN"/>
        </w:rPr>
        <w:t>DAX指数图表信息</w:t>
      </w:r>
    </w:p>
    <w:p>
      <w:pPr>
        <w:numPr>
          <w:ilvl w:val="0"/>
          <w:numId w:val="0"/>
        </w:numPr>
        <w:rPr>
          <w:rFonts w:hint="default"/>
          <w:sz w:val="24"/>
          <w:szCs w:val="24"/>
          <w:lang w:val="en-US" w:eastAsia="zh-CN"/>
        </w:rPr>
      </w:pPr>
      <w:r>
        <w:rPr>
          <w:rFonts w:hint="default"/>
          <w:sz w:val="24"/>
          <w:szCs w:val="24"/>
          <w:lang w:val="en-US" w:eastAsia="zh-CN"/>
        </w:rPr>
        <w:drawing>
          <wp:inline distT="0" distB="0" distL="114300" distR="114300">
            <wp:extent cx="5267325" cy="2378075"/>
            <wp:effectExtent l="0" t="0" r="3175" b="9525"/>
            <wp:docPr id="26" name="图片 26"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9"/>
                    <pic:cNvPicPr>
                      <a:picLocks noChangeAspect="1"/>
                    </pic:cNvPicPr>
                  </pic:nvPicPr>
                  <pic:blipFill>
                    <a:blip r:embed="rId18"/>
                    <a:stretch>
                      <a:fillRect/>
                    </a:stretch>
                  </pic:blipFill>
                  <pic:spPr>
                    <a:xfrm>
                      <a:off x="0" y="0"/>
                      <a:ext cx="5267325" cy="2378075"/>
                    </a:xfrm>
                    <a:prstGeom prst="rect">
                      <a:avLst/>
                    </a:prstGeom>
                  </pic:spPr>
                </pic:pic>
              </a:graphicData>
            </a:graphic>
          </wp:inline>
        </w:drawing>
      </w:r>
    </w:p>
    <w:p>
      <w:pPr>
        <w:numPr>
          <w:ilvl w:val="0"/>
          <w:numId w:val="0"/>
        </w:numPr>
        <w:rPr>
          <w:rFonts w:hint="default"/>
          <w:sz w:val="24"/>
          <w:szCs w:val="24"/>
          <w:lang w:val="en-US" w:eastAsia="zh-CN"/>
        </w:rPr>
      </w:pPr>
      <w:r>
        <w:rPr>
          <w:rFonts w:hint="eastAsia"/>
          <w:sz w:val="24"/>
          <w:szCs w:val="24"/>
          <w:lang w:val="en-US" w:eastAsia="zh-CN"/>
        </w:rPr>
        <w:t xml:space="preserve">DAX </w:t>
      </w:r>
      <w:r>
        <w:rPr>
          <w:rFonts w:hint="default"/>
          <w:sz w:val="24"/>
          <w:szCs w:val="24"/>
          <w:lang w:val="en-US" w:eastAsia="zh-CN"/>
        </w:rPr>
        <w:t>指</w:t>
      </w:r>
      <w:r>
        <w:rPr>
          <w:rFonts w:hint="eastAsia"/>
          <w:sz w:val="24"/>
          <w:szCs w:val="24"/>
          <w:lang w:val="en-US" w:eastAsia="zh-CN"/>
        </w:rPr>
        <w:t>数</w:t>
      </w:r>
      <w:r>
        <w:rPr>
          <w:rFonts w:hint="default"/>
          <w:sz w:val="24"/>
          <w:szCs w:val="24"/>
          <w:lang w:val="en-US" w:eastAsia="zh-CN"/>
        </w:rPr>
        <w:t>和每日指数收益</w:t>
      </w:r>
    </w:p>
    <w:p>
      <w:pPr>
        <w:numPr>
          <w:ilvl w:val="0"/>
          <w:numId w:val="0"/>
        </w:numPr>
        <w:rPr>
          <w:rFonts w:hint="default"/>
          <w:sz w:val="24"/>
          <w:szCs w:val="24"/>
          <w:lang w:val="en-US" w:eastAsia="zh-CN"/>
        </w:rPr>
      </w:pPr>
      <w:r>
        <w:rPr>
          <w:rFonts w:hint="default"/>
          <w:sz w:val="24"/>
          <w:szCs w:val="24"/>
          <w:lang w:val="en-US" w:eastAsia="zh-CN"/>
        </w:rPr>
        <w:drawing>
          <wp:inline distT="0" distB="0" distL="114300" distR="114300">
            <wp:extent cx="5267960" cy="2305050"/>
            <wp:effectExtent l="0" t="0" r="2540" b="6350"/>
            <wp:docPr id="13" name="图片 13"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3.4"/>
                    <pic:cNvPicPr>
                      <a:picLocks noChangeAspect="1"/>
                    </pic:cNvPicPr>
                  </pic:nvPicPr>
                  <pic:blipFill>
                    <a:blip r:embed="rId19"/>
                    <a:stretch>
                      <a:fillRect/>
                    </a:stretch>
                  </pic:blipFill>
                  <pic:spPr>
                    <a:xfrm>
                      <a:off x="0" y="0"/>
                      <a:ext cx="5267960" cy="2305050"/>
                    </a:xfrm>
                    <a:prstGeom prst="rect">
                      <a:avLst/>
                    </a:prstGeom>
                  </pic:spPr>
                </pic:pic>
              </a:graphicData>
            </a:graphic>
          </wp:inline>
        </w:drawing>
      </w:r>
    </w:p>
    <w:p>
      <w:pPr>
        <w:numPr>
          <w:ilvl w:val="0"/>
          <w:numId w:val="0"/>
        </w:numPr>
        <w:rPr>
          <w:rFonts w:hint="eastAsia"/>
          <w:sz w:val="24"/>
          <w:szCs w:val="24"/>
          <w:lang w:val="en-US" w:eastAsia="zh-CN"/>
        </w:rPr>
      </w:pPr>
      <w:r>
        <w:rPr>
          <w:rFonts w:hint="default"/>
          <w:sz w:val="24"/>
          <w:szCs w:val="24"/>
          <w:lang w:val="en-US" w:eastAsia="zh-CN"/>
        </w:rPr>
        <w:t>DAX 指数及移动平均值</w:t>
      </w:r>
      <w:r>
        <w:rPr>
          <w:rFonts w:hint="eastAsia"/>
          <w:sz w:val="24"/>
          <w:szCs w:val="24"/>
          <w:lang w:val="en-US" w:eastAsia="zh-CN"/>
        </w:rPr>
        <w:t>（趋势）</w:t>
      </w:r>
    </w:p>
    <w:p>
      <w:pPr>
        <w:numPr>
          <w:ilvl w:val="0"/>
          <w:numId w:val="0"/>
        </w:numPr>
        <w:rPr>
          <w:rFonts w:hint="eastAsia"/>
          <w:sz w:val="24"/>
          <w:szCs w:val="24"/>
          <w:lang w:val="en-US" w:eastAsia="zh-CN"/>
        </w:rPr>
      </w:pPr>
      <w:r>
        <w:rPr>
          <w:rFonts w:hint="eastAsia"/>
          <w:sz w:val="24"/>
          <w:szCs w:val="24"/>
          <w:lang w:val="en-US" w:eastAsia="zh-CN"/>
        </w:rPr>
        <w:drawing>
          <wp:inline distT="0" distB="0" distL="114300" distR="114300">
            <wp:extent cx="5268595" cy="2350135"/>
            <wp:effectExtent l="0" t="0" r="1905" b="12065"/>
            <wp:docPr id="43" name="图片 43" descr="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7.3"/>
                    <pic:cNvPicPr>
                      <a:picLocks noChangeAspect="1"/>
                    </pic:cNvPicPr>
                  </pic:nvPicPr>
                  <pic:blipFill>
                    <a:blip r:embed="rId20"/>
                    <a:stretch>
                      <a:fillRect/>
                    </a:stretch>
                  </pic:blipFill>
                  <pic:spPr>
                    <a:xfrm>
                      <a:off x="0" y="0"/>
                      <a:ext cx="5268595" cy="2350135"/>
                    </a:xfrm>
                    <a:prstGeom prst="rect">
                      <a:avLst/>
                    </a:prstGeom>
                  </pic:spPr>
                </pic:pic>
              </a:graphicData>
            </a:graphic>
          </wp:inline>
        </w:drawing>
      </w:r>
    </w:p>
    <w:p>
      <w:pPr>
        <w:numPr>
          <w:ilvl w:val="0"/>
          <w:numId w:val="0"/>
        </w:numPr>
        <w:rPr>
          <w:rFonts w:hint="default"/>
          <w:sz w:val="24"/>
          <w:szCs w:val="24"/>
          <w:lang w:val="en-US" w:eastAsia="zh-CN"/>
        </w:rPr>
      </w:pPr>
      <w:r>
        <w:rPr>
          <w:rFonts w:hint="eastAsia"/>
          <w:sz w:val="24"/>
          <w:szCs w:val="24"/>
          <w:lang w:val="en-US" w:eastAsia="zh-CN"/>
        </w:rPr>
        <w:t>日K线</w:t>
      </w:r>
    </w:p>
    <w:p>
      <w:pPr>
        <w:numPr>
          <w:ilvl w:val="0"/>
          <w:numId w:val="4"/>
        </w:numPr>
        <w:rPr>
          <w:rFonts w:hint="eastAsia"/>
          <w:sz w:val="28"/>
          <w:szCs w:val="28"/>
          <w:lang w:val="en-US" w:eastAsia="zh-CN"/>
        </w:rPr>
      </w:pPr>
      <w:r>
        <w:rPr>
          <w:rFonts w:hint="eastAsia"/>
          <w:sz w:val="28"/>
          <w:szCs w:val="28"/>
          <w:lang w:val="en-US" w:eastAsia="zh-CN"/>
        </w:rPr>
        <w:t>数据分析</w:t>
      </w:r>
    </w:p>
    <w:p>
      <w:pPr>
        <w:numPr>
          <w:ilvl w:val="0"/>
          <w:numId w:val="0"/>
        </w:numPr>
        <w:rPr>
          <w:rFonts w:hint="default"/>
          <w:sz w:val="28"/>
          <w:szCs w:val="28"/>
          <w:lang w:val="en-US" w:eastAsia="zh-CN"/>
        </w:rPr>
      </w:pPr>
      <w:r>
        <w:rPr>
          <w:rFonts w:hint="eastAsia"/>
          <w:sz w:val="28"/>
          <w:szCs w:val="28"/>
          <w:lang w:val="en-US" w:eastAsia="zh-CN"/>
        </w:rPr>
        <w:t>疫情期间，太极集团及旗下企业先后捐赠</w:t>
      </w:r>
      <w:r>
        <w:rPr>
          <w:rFonts w:hint="default"/>
          <w:sz w:val="28"/>
          <w:szCs w:val="28"/>
          <w:lang w:val="en-US" w:eastAsia="zh-CN"/>
        </w:rPr>
        <w:t>藿香正气口服液300件共3.6万盒，捐赠藿香正气口服液100件，用于疫情防控工作；藿香正气口服液10件</w:t>
      </w:r>
      <w:r>
        <w:rPr>
          <w:rFonts w:hint="eastAsia"/>
          <w:sz w:val="28"/>
          <w:szCs w:val="28"/>
          <w:lang w:val="en-US" w:eastAsia="zh-CN"/>
        </w:rPr>
        <w:t>，藿</w:t>
      </w:r>
      <w:r>
        <w:rPr>
          <w:rFonts w:hint="default"/>
          <w:sz w:val="28"/>
          <w:szCs w:val="28"/>
          <w:lang w:val="en-US" w:eastAsia="zh-CN"/>
        </w:rPr>
        <w:t>香正气口服液10件</w:t>
      </w:r>
      <w:r>
        <w:rPr>
          <w:rFonts w:hint="eastAsia"/>
          <w:sz w:val="28"/>
          <w:szCs w:val="28"/>
          <w:lang w:val="en-US" w:eastAsia="zh-CN"/>
        </w:rPr>
        <w:t>，</w:t>
      </w:r>
      <w:r>
        <w:rPr>
          <w:rFonts w:hint="default"/>
          <w:sz w:val="28"/>
          <w:szCs w:val="28"/>
          <w:lang w:val="en-US" w:eastAsia="zh-CN"/>
        </w:rPr>
        <w:t>1月23日，公司紧急向重庆市捐赠医用口罩1万个、藿香正气口服液1万盒、急支糖浆1万瓶及金蒿解热颗粒1千盒等医用物资。</w:t>
      </w:r>
      <w:r>
        <w:rPr>
          <w:rFonts w:hint="eastAsia"/>
          <w:sz w:val="28"/>
          <w:szCs w:val="28"/>
          <w:lang w:val="en-US" w:eastAsia="zh-CN"/>
        </w:rPr>
        <w:t>此外，公司还增加了物资生产线，用于疫情防控。</w:t>
      </w:r>
    </w:p>
    <w:p>
      <w:pPr>
        <w:numPr>
          <w:ilvl w:val="0"/>
          <w:numId w:val="0"/>
        </w:numPr>
        <w:ind w:leftChars="0"/>
        <w:rPr>
          <w:rFonts w:hint="default"/>
          <w:sz w:val="28"/>
          <w:szCs w:val="28"/>
          <w:lang w:val="en-US" w:eastAsia="zh-CN"/>
        </w:rPr>
      </w:pPr>
      <w:r>
        <w:rPr>
          <w:rFonts w:hint="eastAsia"/>
          <w:sz w:val="28"/>
          <w:szCs w:val="28"/>
          <w:lang w:val="en-US" w:eastAsia="zh-CN"/>
        </w:rPr>
        <w:t>从图表数据可以看出，太极集团在疫情之后的波动较为明显，从去年11月疫情初期突然上涨后保持此基数基本呈上涨趋势，受到捐赠等社会影响力，公司股票在1、2月份先后有涨停态势出现。此外，作为参与到疫情防控中的公司，其生产的抗生素、医用口罩等大量投产到疫情当中，对公司效益产生一定促进的影响。六月份以来，</w:t>
      </w:r>
      <w:r>
        <w:rPr>
          <w:rFonts w:hint="default"/>
          <w:sz w:val="28"/>
          <w:szCs w:val="28"/>
          <w:lang w:val="en-US" w:eastAsia="zh-CN"/>
        </w:rPr>
        <w:t>北京新发地市场的聚集性传播和全球疫情继续恶化,催动</w:t>
      </w:r>
      <w:r>
        <w:rPr>
          <w:rFonts w:hint="eastAsia"/>
          <w:sz w:val="28"/>
          <w:szCs w:val="28"/>
          <w:lang w:val="en-US" w:eastAsia="zh-CN"/>
        </w:rPr>
        <w:t>太极集团股票</w:t>
      </w:r>
      <w:r>
        <w:rPr>
          <w:rFonts w:hint="default"/>
          <w:sz w:val="28"/>
          <w:szCs w:val="28"/>
          <w:lang w:val="en-US" w:eastAsia="zh-CN"/>
        </w:rPr>
        <w:t>持续上涨</w:t>
      </w:r>
      <w:r>
        <w:rPr>
          <w:rFonts w:hint="eastAsia"/>
          <w:sz w:val="28"/>
          <w:szCs w:val="28"/>
          <w:lang w:val="en-US" w:eastAsia="zh-CN"/>
        </w:rPr>
        <w:t>。</w:t>
      </w:r>
    </w:p>
    <w:p>
      <w:pPr>
        <w:numPr>
          <w:ilvl w:val="0"/>
          <w:numId w:val="0"/>
        </w:numPr>
        <w:ind w:leftChars="0"/>
        <w:rPr>
          <w:rFonts w:hint="eastAsia"/>
          <w:sz w:val="28"/>
          <w:szCs w:val="28"/>
          <w:lang w:val="en-US" w:eastAsia="zh-CN"/>
        </w:rPr>
      </w:pPr>
      <w:r>
        <w:rPr>
          <w:rFonts w:hint="eastAsia"/>
          <w:sz w:val="28"/>
          <w:szCs w:val="28"/>
          <w:lang w:val="en-US" w:eastAsia="zh-CN"/>
        </w:rPr>
        <w:t>3.健康元（</w:t>
      </w:r>
      <w:r>
        <w:rPr>
          <w:rFonts w:hint="default"/>
          <w:sz w:val="28"/>
          <w:szCs w:val="28"/>
          <w:lang w:val="en-US" w:eastAsia="zh-CN"/>
        </w:rPr>
        <w:t>600380</w:t>
      </w:r>
      <w:r>
        <w:rPr>
          <w:rFonts w:hint="eastAsia"/>
          <w:sz w:val="28"/>
          <w:szCs w:val="28"/>
          <w:lang w:val="en-US" w:eastAsia="zh-CN"/>
        </w:rPr>
        <w:t>）</w:t>
      </w:r>
    </w:p>
    <w:p>
      <w:pPr>
        <w:numPr>
          <w:ilvl w:val="0"/>
          <w:numId w:val="0"/>
        </w:numPr>
        <w:ind w:leftChars="0" w:firstLine="560" w:firstLineChars="200"/>
        <w:rPr>
          <w:rFonts w:hint="eastAsia"/>
          <w:sz w:val="28"/>
          <w:szCs w:val="28"/>
          <w:lang w:val="en-US" w:eastAsia="zh-CN"/>
        </w:rPr>
      </w:pPr>
      <w:r>
        <w:rPr>
          <w:rFonts w:hint="eastAsia"/>
          <w:sz w:val="28"/>
          <w:szCs w:val="28"/>
          <w:lang w:val="en-US" w:eastAsia="zh-CN"/>
        </w:rPr>
        <w:t>现已成为一家集医药保健品研发、生产、销售、服务为一体的综合性集团公司。产品范围涉及保健品、中成药、检测试剂、单抗、原料药、化学制剂等多个领域的500多个品种。</w:t>
      </w:r>
    </w:p>
    <w:p>
      <w:pPr>
        <w:numPr>
          <w:ilvl w:val="0"/>
          <w:numId w:val="0"/>
        </w:numPr>
        <w:rPr>
          <w:rFonts w:hint="default"/>
          <w:sz w:val="24"/>
          <w:szCs w:val="24"/>
          <w:lang w:val="en-US" w:eastAsia="zh-CN"/>
        </w:rPr>
      </w:pPr>
      <w:r>
        <w:rPr>
          <w:rFonts w:hint="eastAsia"/>
          <w:sz w:val="28"/>
          <w:szCs w:val="28"/>
          <w:lang w:val="en-US" w:eastAsia="zh-CN"/>
        </w:rPr>
        <w:t>（1）获取数据</w:t>
      </w:r>
    </w:p>
    <w:p>
      <w:pPr>
        <w:numPr>
          <w:ilvl w:val="0"/>
          <w:numId w:val="0"/>
        </w:numPr>
        <w:rPr>
          <w:rFonts w:hint="eastAsia"/>
          <w:sz w:val="24"/>
          <w:szCs w:val="24"/>
          <w:lang w:val="en-US" w:eastAsia="zh-CN"/>
        </w:rPr>
      </w:pPr>
      <w:r>
        <w:rPr>
          <w:rFonts w:hint="eastAsia"/>
          <w:sz w:val="24"/>
          <w:szCs w:val="24"/>
          <w:lang w:val="en-US" w:eastAsia="zh-CN"/>
        </w:rPr>
        <w:drawing>
          <wp:inline distT="0" distB="0" distL="114300" distR="114300">
            <wp:extent cx="5266690" cy="2037715"/>
            <wp:effectExtent l="0" t="0" r="3810" b="6985"/>
            <wp:docPr id="20" name="图片 20"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4.1"/>
                    <pic:cNvPicPr>
                      <a:picLocks noChangeAspect="1"/>
                    </pic:cNvPicPr>
                  </pic:nvPicPr>
                  <pic:blipFill>
                    <a:blip r:embed="rId21"/>
                    <a:stretch>
                      <a:fillRect/>
                    </a:stretch>
                  </pic:blipFill>
                  <pic:spPr>
                    <a:xfrm>
                      <a:off x="0" y="0"/>
                      <a:ext cx="5266690" cy="2037715"/>
                    </a:xfrm>
                    <a:prstGeom prst="rect">
                      <a:avLst/>
                    </a:prstGeom>
                  </pic:spPr>
                </pic:pic>
              </a:graphicData>
            </a:graphic>
          </wp:inline>
        </w:drawing>
      </w:r>
    </w:p>
    <w:p>
      <w:pPr>
        <w:numPr>
          <w:ilvl w:val="0"/>
          <w:numId w:val="0"/>
        </w:numPr>
        <w:rPr>
          <w:rFonts w:hint="eastAsia"/>
          <w:sz w:val="24"/>
          <w:szCs w:val="24"/>
          <w:lang w:val="en-US" w:eastAsia="zh-CN"/>
        </w:rPr>
      </w:pPr>
      <w:r>
        <w:rPr>
          <w:rFonts w:hint="eastAsia"/>
          <w:sz w:val="24"/>
          <w:szCs w:val="24"/>
          <w:lang w:val="en-US" w:eastAsia="zh-CN"/>
        </w:rPr>
        <w:t>时间：2019-6-01——2020-06-24</w:t>
      </w:r>
    </w:p>
    <w:p>
      <w:pPr>
        <w:numPr>
          <w:ilvl w:val="0"/>
          <w:numId w:val="0"/>
        </w:numPr>
        <w:rPr>
          <w:rFonts w:hint="eastAsia"/>
          <w:sz w:val="24"/>
          <w:szCs w:val="24"/>
          <w:lang w:val="en-US" w:eastAsia="zh-CN"/>
        </w:rPr>
      </w:pPr>
      <w:r>
        <w:rPr>
          <w:rFonts w:hint="eastAsia"/>
          <w:sz w:val="24"/>
          <w:szCs w:val="24"/>
          <w:lang w:val="en-US" w:eastAsia="zh-CN"/>
        </w:rPr>
        <w:drawing>
          <wp:inline distT="0" distB="0" distL="114300" distR="114300">
            <wp:extent cx="5267960" cy="2486660"/>
            <wp:effectExtent l="0" t="0" r="2540" b="2540"/>
            <wp:docPr id="19" name="图片 19" descr="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4.2"/>
                    <pic:cNvPicPr>
                      <a:picLocks noChangeAspect="1"/>
                    </pic:cNvPicPr>
                  </pic:nvPicPr>
                  <pic:blipFill>
                    <a:blip r:embed="rId22"/>
                    <a:stretch>
                      <a:fillRect/>
                    </a:stretch>
                  </pic:blipFill>
                  <pic:spPr>
                    <a:xfrm>
                      <a:off x="0" y="0"/>
                      <a:ext cx="5267960" cy="2486660"/>
                    </a:xfrm>
                    <a:prstGeom prst="rect">
                      <a:avLst/>
                    </a:prstGeom>
                  </pic:spPr>
                </pic:pic>
              </a:graphicData>
            </a:graphic>
          </wp:inline>
        </w:drawing>
      </w:r>
    </w:p>
    <w:p>
      <w:pPr>
        <w:numPr>
          <w:ilvl w:val="0"/>
          <w:numId w:val="0"/>
        </w:numPr>
        <w:rPr>
          <w:rFonts w:hint="eastAsia"/>
          <w:sz w:val="24"/>
          <w:szCs w:val="24"/>
          <w:lang w:val="en-US" w:eastAsia="zh-CN"/>
        </w:rPr>
      </w:pPr>
      <w:r>
        <w:rPr>
          <w:rFonts w:hint="eastAsia"/>
          <w:sz w:val="24"/>
          <w:szCs w:val="24"/>
          <w:lang w:val="en-US" w:eastAsia="zh-CN"/>
        </w:rPr>
        <w:t>DAX指数图表信息</w:t>
      </w:r>
    </w:p>
    <w:p>
      <w:pPr>
        <w:numPr>
          <w:ilvl w:val="0"/>
          <w:numId w:val="0"/>
        </w:numPr>
        <w:rPr>
          <w:rFonts w:hint="eastAsia"/>
          <w:sz w:val="24"/>
          <w:szCs w:val="24"/>
          <w:lang w:val="en-US" w:eastAsia="zh-CN"/>
        </w:rPr>
      </w:pPr>
      <w:r>
        <w:rPr>
          <w:rFonts w:hint="eastAsia"/>
          <w:sz w:val="24"/>
          <w:szCs w:val="24"/>
          <w:lang w:val="en-US" w:eastAsia="zh-CN"/>
        </w:rPr>
        <w:drawing>
          <wp:inline distT="0" distB="0" distL="114300" distR="114300">
            <wp:extent cx="5273040" cy="2282825"/>
            <wp:effectExtent l="0" t="0" r="10160" b="3175"/>
            <wp:docPr id="18" name="图片 18" descr="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4.3"/>
                    <pic:cNvPicPr>
                      <a:picLocks noChangeAspect="1"/>
                    </pic:cNvPicPr>
                  </pic:nvPicPr>
                  <pic:blipFill>
                    <a:blip r:embed="rId23"/>
                    <a:stretch>
                      <a:fillRect/>
                    </a:stretch>
                  </pic:blipFill>
                  <pic:spPr>
                    <a:xfrm>
                      <a:off x="0" y="0"/>
                      <a:ext cx="5273040" cy="2282825"/>
                    </a:xfrm>
                    <a:prstGeom prst="rect">
                      <a:avLst/>
                    </a:prstGeom>
                  </pic:spPr>
                </pic:pic>
              </a:graphicData>
            </a:graphic>
          </wp:inline>
        </w:drawing>
      </w:r>
    </w:p>
    <w:p>
      <w:pPr>
        <w:numPr>
          <w:ilvl w:val="0"/>
          <w:numId w:val="0"/>
        </w:numPr>
        <w:rPr>
          <w:rFonts w:hint="default"/>
          <w:sz w:val="24"/>
          <w:szCs w:val="24"/>
          <w:lang w:val="en-US" w:eastAsia="zh-CN"/>
        </w:rPr>
      </w:pPr>
      <w:r>
        <w:rPr>
          <w:rFonts w:hint="eastAsia"/>
          <w:sz w:val="24"/>
          <w:szCs w:val="24"/>
          <w:lang w:val="en-US" w:eastAsia="zh-CN"/>
        </w:rPr>
        <w:t xml:space="preserve">DAX </w:t>
      </w:r>
      <w:r>
        <w:rPr>
          <w:rFonts w:hint="default"/>
          <w:sz w:val="24"/>
          <w:szCs w:val="24"/>
          <w:lang w:val="en-US" w:eastAsia="zh-CN"/>
        </w:rPr>
        <w:t>指</w:t>
      </w:r>
      <w:r>
        <w:rPr>
          <w:rFonts w:hint="eastAsia"/>
          <w:sz w:val="24"/>
          <w:szCs w:val="24"/>
          <w:lang w:val="en-US" w:eastAsia="zh-CN"/>
        </w:rPr>
        <w:t>数</w:t>
      </w:r>
      <w:r>
        <w:rPr>
          <w:rFonts w:hint="default"/>
          <w:sz w:val="24"/>
          <w:szCs w:val="24"/>
          <w:lang w:val="en-US" w:eastAsia="zh-CN"/>
        </w:rPr>
        <w:t>和每日指数收益</w:t>
      </w:r>
    </w:p>
    <w:p>
      <w:pPr>
        <w:numPr>
          <w:ilvl w:val="0"/>
          <w:numId w:val="0"/>
        </w:numPr>
        <w:rPr>
          <w:rFonts w:hint="eastAsia"/>
          <w:sz w:val="24"/>
          <w:szCs w:val="24"/>
          <w:lang w:val="en-US" w:eastAsia="zh-CN"/>
        </w:rPr>
      </w:pPr>
      <w:r>
        <w:rPr>
          <w:rFonts w:hint="eastAsia"/>
          <w:sz w:val="24"/>
          <w:szCs w:val="24"/>
          <w:lang w:val="en-US" w:eastAsia="zh-CN"/>
        </w:rPr>
        <w:drawing>
          <wp:inline distT="0" distB="0" distL="114300" distR="114300">
            <wp:extent cx="5273040" cy="2277745"/>
            <wp:effectExtent l="0" t="0" r="10160" b="8255"/>
            <wp:docPr id="17" name="图片 17" descr="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4.4"/>
                    <pic:cNvPicPr>
                      <a:picLocks noChangeAspect="1"/>
                    </pic:cNvPicPr>
                  </pic:nvPicPr>
                  <pic:blipFill>
                    <a:blip r:embed="rId24"/>
                    <a:stretch>
                      <a:fillRect/>
                    </a:stretch>
                  </pic:blipFill>
                  <pic:spPr>
                    <a:xfrm>
                      <a:off x="0" y="0"/>
                      <a:ext cx="5273040" cy="2277745"/>
                    </a:xfrm>
                    <a:prstGeom prst="rect">
                      <a:avLst/>
                    </a:prstGeom>
                  </pic:spPr>
                </pic:pic>
              </a:graphicData>
            </a:graphic>
          </wp:inline>
        </w:drawing>
      </w:r>
    </w:p>
    <w:p>
      <w:pPr>
        <w:numPr>
          <w:ilvl w:val="0"/>
          <w:numId w:val="0"/>
        </w:numPr>
        <w:rPr>
          <w:rFonts w:hint="default"/>
          <w:sz w:val="24"/>
          <w:szCs w:val="24"/>
          <w:lang w:val="en-US" w:eastAsia="zh-CN"/>
        </w:rPr>
      </w:pPr>
      <w:r>
        <w:rPr>
          <w:rFonts w:hint="default"/>
          <w:sz w:val="24"/>
          <w:szCs w:val="24"/>
          <w:lang w:val="en-US" w:eastAsia="zh-CN"/>
        </w:rPr>
        <w:t>DAX 指数及移动平均值</w:t>
      </w:r>
    </w:p>
    <w:p>
      <w:pPr>
        <w:numPr>
          <w:ilvl w:val="0"/>
          <w:numId w:val="0"/>
        </w:numPr>
        <w:rPr>
          <w:rFonts w:hint="default"/>
          <w:sz w:val="24"/>
          <w:szCs w:val="24"/>
          <w:lang w:val="en-US" w:eastAsia="zh-CN"/>
        </w:rPr>
      </w:pPr>
      <w:r>
        <w:rPr>
          <w:rFonts w:hint="default"/>
          <w:sz w:val="24"/>
          <w:szCs w:val="24"/>
          <w:lang w:val="en-US" w:eastAsia="zh-CN"/>
        </w:rPr>
        <w:drawing>
          <wp:inline distT="0" distB="0" distL="114300" distR="114300">
            <wp:extent cx="5264785" cy="2362835"/>
            <wp:effectExtent l="0" t="0" r="5715" b="12065"/>
            <wp:docPr id="42" name="图片 42" descr="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7.4"/>
                    <pic:cNvPicPr>
                      <a:picLocks noChangeAspect="1"/>
                    </pic:cNvPicPr>
                  </pic:nvPicPr>
                  <pic:blipFill>
                    <a:blip r:embed="rId25"/>
                    <a:stretch>
                      <a:fillRect/>
                    </a:stretch>
                  </pic:blipFill>
                  <pic:spPr>
                    <a:xfrm>
                      <a:off x="0" y="0"/>
                      <a:ext cx="5264785" cy="2362835"/>
                    </a:xfrm>
                    <a:prstGeom prst="rect">
                      <a:avLst/>
                    </a:prstGeom>
                  </pic:spPr>
                </pic:pic>
              </a:graphicData>
            </a:graphic>
          </wp:inline>
        </w:drawing>
      </w:r>
    </w:p>
    <w:p>
      <w:pPr>
        <w:numPr>
          <w:ilvl w:val="0"/>
          <w:numId w:val="0"/>
        </w:numPr>
        <w:rPr>
          <w:rFonts w:hint="eastAsia"/>
          <w:sz w:val="24"/>
          <w:szCs w:val="24"/>
          <w:lang w:val="en-US" w:eastAsia="zh-CN"/>
        </w:rPr>
      </w:pPr>
      <w:r>
        <w:rPr>
          <w:rFonts w:hint="eastAsia"/>
          <w:sz w:val="24"/>
          <w:szCs w:val="24"/>
          <w:lang w:val="en-US" w:eastAsia="zh-CN"/>
        </w:rPr>
        <w:t>日k线</w:t>
      </w:r>
    </w:p>
    <w:p>
      <w:pPr>
        <w:numPr>
          <w:ilvl w:val="0"/>
          <w:numId w:val="0"/>
        </w:numPr>
        <w:rPr>
          <w:rFonts w:hint="eastAsia"/>
          <w:sz w:val="28"/>
          <w:szCs w:val="28"/>
          <w:lang w:val="en-US" w:eastAsia="zh-CN"/>
        </w:rPr>
      </w:pPr>
      <w:r>
        <w:rPr>
          <w:rFonts w:hint="eastAsia"/>
          <w:sz w:val="28"/>
          <w:szCs w:val="28"/>
          <w:lang w:val="en-US" w:eastAsia="zh-CN"/>
        </w:rPr>
        <w:t>（2）数据分析</w:t>
      </w:r>
    </w:p>
    <w:p>
      <w:pPr>
        <w:numPr>
          <w:ilvl w:val="0"/>
          <w:numId w:val="0"/>
        </w:numPr>
        <w:rPr>
          <w:rFonts w:hint="eastAsia"/>
          <w:sz w:val="28"/>
          <w:szCs w:val="28"/>
          <w:lang w:val="en-US" w:eastAsia="zh-CN"/>
        </w:rPr>
      </w:pPr>
      <w:r>
        <w:rPr>
          <w:rFonts w:hint="default"/>
          <w:sz w:val="28"/>
          <w:szCs w:val="28"/>
          <w:lang w:val="en-US" w:eastAsia="zh-CN"/>
        </w:rPr>
        <w:t>作为一家深耕研发的"硬核"医药企业，</w:t>
      </w:r>
      <w:r>
        <w:rPr>
          <w:rFonts w:hint="eastAsia"/>
          <w:sz w:val="28"/>
          <w:szCs w:val="28"/>
          <w:lang w:val="en-US" w:eastAsia="zh-CN"/>
        </w:rPr>
        <w:t>健康元捐赠了大量的资金和医疗物资，用于支持疫情期间的防治工作和医疗基地的建设。</w:t>
      </w:r>
      <w:r>
        <w:rPr>
          <w:rFonts w:hint="default"/>
          <w:sz w:val="28"/>
          <w:szCs w:val="28"/>
          <w:lang w:val="en-US" w:eastAsia="zh-CN"/>
        </w:rPr>
        <w:t>此外，</w:t>
      </w:r>
      <w:r>
        <w:rPr>
          <w:rFonts w:hint="eastAsia"/>
          <w:sz w:val="28"/>
          <w:szCs w:val="28"/>
          <w:lang w:val="en-US" w:eastAsia="zh-CN"/>
        </w:rPr>
        <w:t>在疫情防控初期，</w:t>
      </w:r>
      <w:r>
        <w:rPr>
          <w:rFonts w:hint="default"/>
          <w:sz w:val="28"/>
          <w:szCs w:val="28"/>
          <w:lang w:val="en-US" w:eastAsia="zh-CN"/>
        </w:rPr>
        <w:t>投入各地疫情防控支持工作中，迅速推出能快速、准确进行病毒核酸和抗体检测的多种试剂</w:t>
      </w:r>
      <w:r>
        <w:rPr>
          <w:rFonts w:hint="eastAsia"/>
          <w:sz w:val="28"/>
          <w:szCs w:val="28"/>
          <w:lang w:val="en-US" w:eastAsia="zh-CN"/>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firstLine="0"/>
        <w:jc w:val="left"/>
        <w:rPr>
          <w:rFonts w:hint="default" w:asciiTheme="minorHAnsi" w:hAnsiTheme="minorHAnsi" w:eastAsiaTheme="minorEastAsia" w:cstheme="minorBidi"/>
          <w:kern w:val="2"/>
          <w:sz w:val="28"/>
          <w:szCs w:val="28"/>
          <w:lang w:val="en-US" w:eastAsia="zh-CN" w:bidi="ar-SA"/>
        </w:rPr>
      </w:pPr>
      <w:r>
        <w:rPr>
          <w:rFonts w:hint="eastAsia" w:asciiTheme="minorHAnsi" w:hAnsiTheme="minorHAnsi" w:eastAsiaTheme="minorEastAsia" w:cstheme="minorBidi"/>
          <w:kern w:val="2"/>
          <w:sz w:val="28"/>
          <w:szCs w:val="28"/>
          <w:lang w:val="en-US" w:eastAsia="zh-CN" w:bidi="ar-SA"/>
        </w:rPr>
        <w:t>根据图表可以看出，健康元集团自去年疫情伊始，上涨趋势一直存在，在二月份受到疫情短期不利影响后，持续上涨。在疫情结束后的六月份，由于人们对健康领域的关注，健康领域的消费升级催生相关需求的进一步提升，健康元作为其中的龙头企业，出现了股票局势激增的局面。</w:t>
      </w:r>
    </w:p>
    <w:p>
      <w:pPr>
        <w:numPr>
          <w:ilvl w:val="0"/>
          <w:numId w:val="0"/>
        </w:numPr>
        <w:rPr>
          <w:rFonts w:hint="default"/>
          <w:sz w:val="28"/>
          <w:szCs w:val="28"/>
          <w:lang w:val="en-US" w:eastAsia="zh-CN"/>
        </w:rPr>
      </w:pPr>
      <w:r>
        <w:rPr>
          <w:rFonts w:hint="eastAsia"/>
          <w:sz w:val="28"/>
          <w:szCs w:val="28"/>
          <w:lang w:val="en-US" w:eastAsia="zh-CN"/>
        </w:rPr>
        <w:t>（三）医疗器械</w:t>
      </w:r>
    </w:p>
    <w:p>
      <w:pPr>
        <w:numPr>
          <w:ilvl w:val="0"/>
          <w:numId w:val="0"/>
        </w:numPr>
        <w:rPr>
          <w:rFonts w:hint="default"/>
          <w:sz w:val="28"/>
          <w:szCs w:val="28"/>
          <w:lang w:val="en-US" w:eastAsia="zh-CN"/>
        </w:rPr>
      </w:pPr>
      <w:r>
        <w:rPr>
          <w:rFonts w:hint="default"/>
          <w:sz w:val="28"/>
          <w:szCs w:val="28"/>
          <w:lang w:val="en-US" w:eastAsia="zh-CN"/>
        </w:rPr>
        <w:t>迈瑞医疗</w:t>
      </w:r>
      <w:r>
        <w:rPr>
          <w:rFonts w:hint="eastAsia"/>
          <w:sz w:val="28"/>
          <w:szCs w:val="28"/>
          <w:lang w:val="en-US" w:eastAsia="zh-CN"/>
        </w:rPr>
        <w:t>（</w:t>
      </w:r>
      <w:r>
        <w:rPr>
          <w:rFonts w:hint="default"/>
          <w:sz w:val="28"/>
          <w:szCs w:val="28"/>
          <w:lang w:val="en-US" w:eastAsia="zh-CN"/>
        </w:rPr>
        <w:t>300760</w:t>
      </w:r>
      <w:r>
        <w:rPr>
          <w:rFonts w:hint="eastAsia"/>
          <w:sz w:val="28"/>
          <w:szCs w:val="28"/>
          <w:lang w:val="en-US" w:eastAsia="zh-CN"/>
        </w:rPr>
        <w:t>）公司</w:t>
      </w:r>
      <w:r>
        <w:rPr>
          <w:rFonts w:hint="default"/>
          <w:sz w:val="28"/>
          <w:szCs w:val="28"/>
          <w:lang w:val="en-US" w:eastAsia="zh-CN"/>
        </w:rPr>
        <w:t>生产经营医疗电子仪器及其配套试剂及产品的软件开发(不含国家限制项目)</w:t>
      </w:r>
      <w:r>
        <w:rPr>
          <w:rFonts w:hint="eastAsia"/>
          <w:sz w:val="28"/>
          <w:szCs w:val="28"/>
          <w:lang w:val="en-US" w:eastAsia="zh-CN"/>
        </w:rPr>
        <w:t>。</w:t>
      </w:r>
      <w:r>
        <w:rPr>
          <w:rFonts w:hint="default"/>
          <w:sz w:val="28"/>
          <w:szCs w:val="28"/>
          <w:lang w:val="en-US" w:eastAsia="zh-CN"/>
        </w:rPr>
        <w:t>迈瑞的主营业务覆盖生命信息与支持、体外诊断、医学影像三大领域,通过前沿技术创新,提供更完善的产品解决方案,帮助世界改善医疗条件、提高诊疗效率。</w:t>
      </w:r>
    </w:p>
    <w:p>
      <w:pPr>
        <w:numPr>
          <w:ilvl w:val="0"/>
          <w:numId w:val="0"/>
        </w:numPr>
        <w:rPr>
          <w:rFonts w:hint="default"/>
          <w:sz w:val="24"/>
          <w:szCs w:val="24"/>
          <w:lang w:val="en-US" w:eastAsia="zh-CN"/>
        </w:rPr>
      </w:pPr>
      <w:r>
        <w:rPr>
          <w:rFonts w:hint="eastAsia"/>
          <w:sz w:val="28"/>
          <w:szCs w:val="28"/>
          <w:lang w:val="en-US" w:eastAsia="zh-CN"/>
        </w:rPr>
        <w:t>1.获取数据</w:t>
      </w:r>
    </w:p>
    <w:p>
      <w:pPr>
        <w:rPr>
          <w:rFonts w:hint="default"/>
          <w:sz w:val="24"/>
          <w:szCs w:val="24"/>
          <w:lang w:val="en-US" w:eastAsia="zh-CN"/>
        </w:rPr>
      </w:pPr>
      <w:r>
        <w:rPr>
          <w:rFonts w:hint="default"/>
          <w:sz w:val="24"/>
          <w:szCs w:val="24"/>
          <w:lang w:val="en-US" w:eastAsia="zh-CN"/>
        </w:rPr>
        <w:drawing>
          <wp:inline distT="0" distB="0" distL="114300" distR="114300">
            <wp:extent cx="5266690" cy="1965960"/>
            <wp:effectExtent l="0" t="0" r="3810" b="2540"/>
            <wp:docPr id="24" name="图片 24" desc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5.1"/>
                    <pic:cNvPicPr>
                      <a:picLocks noChangeAspect="1"/>
                    </pic:cNvPicPr>
                  </pic:nvPicPr>
                  <pic:blipFill>
                    <a:blip r:embed="rId26"/>
                    <a:stretch>
                      <a:fillRect/>
                    </a:stretch>
                  </pic:blipFill>
                  <pic:spPr>
                    <a:xfrm>
                      <a:off x="0" y="0"/>
                      <a:ext cx="5266690" cy="1965960"/>
                    </a:xfrm>
                    <a:prstGeom prst="rect">
                      <a:avLst/>
                    </a:prstGeom>
                  </pic:spPr>
                </pic:pic>
              </a:graphicData>
            </a:graphic>
          </wp:inline>
        </w:drawing>
      </w:r>
    </w:p>
    <w:p>
      <w:pPr>
        <w:numPr>
          <w:ilvl w:val="0"/>
          <w:numId w:val="0"/>
        </w:numPr>
        <w:rPr>
          <w:rFonts w:hint="eastAsia"/>
          <w:sz w:val="24"/>
          <w:szCs w:val="24"/>
          <w:lang w:val="en-US" w:eastAsia="zh-CN"/>
        </w:rPr>
      </w:pPr>
      <w:r>
        <w:rPr>
          <w:rFonts w:hint="eastAsia"/>
          <w:sz w:val="24"/>
          <w:szCs w:val="24"/>
          <w:lang w:val="en-US" w:eastAsia="zh-CN"/>
        </w:rPr>
        <w:t>时间：2019-6-01——2020-06-24</w:t>
      </w:r>
    </w:p>
    <w:p>
      <w:pPr>
        <w:rPr>
          <w:rFonts w:hint="default"/>
          <w:sz w:val="24"/>
          <w:szCs w:val="24"/>
          <w:lang w:val="en-US" w:eastAsia="zh-CN"/>
        </w:rPr>
      </w:pPr>
      <w:r>
        <w:rPr>
          <w:rFonts w:hint="default"/>
          <w:sz w:val="24"/>
          <w:szCs w:val="24"/>
          <w:lang w:val="en-US" w:eastAsia="zh-CN"/>
        </w:rPr>
        <w:drawing>
          <wp:inline distT="0" distB="0" distL="114300" distR="114300">
            <wp:extent cx="5273675" cy="2310130"/>
            <wp:effectExtent l="0" t="0" r="9525" b="1270"/>
            <wp:docPr id="23" name="图片 23" descr="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5.2"/>
                    <pic:cNvPicPr>
                      <a:picLocks noChangeAspect="1"/>
                    </pic:cNvPicPr>
                  </pic:nvPicPr>
                  <pic:blipFill>
                    <a:blip r:embed="rId27"/>
                    <a:stretch>
                      <a:fillRect/>
                    </a:stretch>
                  </pic:blipFill>
                  <pic:spPr>
                    <a:xfrm>
                      <a:off x="0" y="0"/>
                      <a:ext cx="5273675" cy="2310130"/>
                    </a:xfrm>
                    <a:prstGeom prst="rect">
                      <a:avLst/>
                    </a:prstGeom>
                  </pic:spPr>
                </pic:pic>
              </a:graphicData>
            </a:graphic>
          </wp:inline>
        </w:drawing>
      </w:r>
    </w:p>
    <w:p>
      <w:pPr>
        <w:numPr>
          <w:ilvl w:val="0"/>
          <w:numId w:val="0"/>
        </w:numPr>
        <w:rPr>
          <w:rFonts w:hint="eastAsia"/>
          <w:sz w:val="24"/>
          <w:szCs w:val="24"/>
          <w:lang w:val="en-US" w:eastAsia="zh-CN"/>
        </w:rPr>
      </w:pPr>
      <w:r>
        <w:rPr>
          <w:rFonts w:hint="eastAsia"/>
          <w:sz w:val="24"/>
          <w:szCs w:val="24"/>
          <w:lang w:val="en-US" w:eastAsia="zh-CN"/>
        </w:rPr>
        <w:t>DAX指数图表信息</w:t>
      </w:r>
    </w:p>
    <w:p>
      <w:pPr>
        <w:rPr>
          <w:rFonts w:hint="default"/>
          <w:sz w:val="24"/>
          <w:szCs w:val="24"/>
          <w:lang w:val="en-US" w:eastAsia="zh-CN"/>
        </w:rPr>
      </w:pPr>
      <w:r>
        <w:rPr>
          <w:rFonts w:hint="default"/>
          <w:sz w:val="24"/>
          <w:szCs w:val="24"/>
          <w:lang w:val="en-US" w:eastAsia="zh-CN"/>
        </w:rPr>
        <w:drawing>
          <wp:inline distT="0" distB="0" distL="114300" distR="114300">
            <wp:extent cx="5270500" cy="2252980"/>
            <wp:effectExtent l="0" t="0" r="0" b="7620"/>
            <wp:docPr id="22" name="图片 22" descr="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5.3"/>
                    <pic:cNvPicPr>
                      <a:picLocks noChangeAspect="1"/>
                    </pic:cNvPicPr>
                  </pic:nvPicPr>
                  <pic:blipFill>
                    <a:blip r:embed="rId28"/>
                    <a:stretch>
                      <a:fillRect/>
                    </a:stretch>
                  </pic:blipFill>
                  <pic:spPr>
                    <a:xfrm>
                      <a:off x="0" y="0"/>
                      <a:ext cx="5270500" cy="2252980"/>
                    </a:xfrm>
                    <a:prstGeom prst="rect">
                      <a:avLst/>
                    </a:prstGeom>
                  </pic:spPr>
                </pic:pic>
              </a:graphicData>
            </a:graphic>
          </wp:inline>
        </w:drawing>
      </w:r>
    </w:p>
    <w:p>
      <w:pPr>
        <w:numPr>
          <w:ilvl w:val="0"/>
          <w:numId w:val="0"/>
        </w:numPr>
        <w:rPr>
          <w:rFonts w:hint="default"/>
          <w:sz w:val="24"/>
          <w:szCs w:val="24"/>
          <w:lang w:val="en-US" w:eastAsia="zh-CN"/>
        </w:rPr>
      </w:pPr>
      <w:r>
        <w:rPr>
          <w:rFonts w:hint="eastAsia"/>
          <w:sz w:val="24"/>
          <w:szCs w:val="24"/>
          <w:lang w:val="en-US" w:eastAsia="zh-CN"/>
        </w:rPr>
        <w:t xml:space="preserve">DAX </w:t>
      </w:r>
      <w:r>
        <w:rPr>
          <w:rFonts w:hint="default"/>
          <w:sz w:val="24"/>
          <w:szCs w:val="24"/>
          <w:lang w:val="en-US" w:eastAsia="zh-CN"/>
        </w:rPr>
        <w:t>指</w:t>
      </w:r>
      <w:r>
        <w:rPr>
          <w:rFonts w:hint="eastAsia"/>
          <w:sz w:val="24"/>
          <w:szCs w:val="24"/>
          <w:lang w:val="en-US" w:eastAsia="zh-CN"/>
        </w:rPr>
        <w:t>数</w:t>
      </w:r>
      <w:r>
        <w:rPr>
          <w:rFonts w:hint="default"/>
          <w:sz w:val="24"/>
          <w:szCs w:val="24"/>
          <w:lang w:val="en-US" w:eastAsia="zh-CN"/>
        </w:rPr>
        <w:t>和每日指数收益</w:t>
      </w:r>
    </w:p>
    <w:p>
      <w:pPr>
        <w:rPr>
          <w:rFonts w:hint="default"/>
          <w:sz w:val="24"/>
          <w:szCs w:val="24"/>
          <w:lang w:val="en-US" w:eastAsia="zh-CN"/>
        </w:rPr>
      </w:pPr>
      <w:r>
        <w:rPr>
          <w:rFonts w:hint="default"/>
          <w:sz w:val="24"/>
          <w:szCs w:val="24"/>
          <w:lang w:val="en-US" w:eastAsia="zh-CN"/>
        </w:rPr>
        <w:drawing>
          <wp:inline distT="0" distB="0" distL="114300" distR="114300">
            <wp:extent cx="5273675" cy="2823210"/>
            <wp:effectExtent l="0" t="0" r="9525" b="8890"/>
            <wp:docPr id="21" name="图片 21" descr="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5.4"/>
                    <pic:cNvPicPr>
                      <a:picLocks noChangeAspect="1"/>
                    </pic:cNvPicPr>
                  </pic:nvPicPr>
                  <pic:blipFill>
                    <a:blip r:embed="rId29"/>
                    <a:stretch>
                      <a:fillRect/>
                    </a:stretch>
                  </pic:blipFill>
                  <pic:spPr>
                    <a:xfrm>
                      <a:off x="0" y="0"/>
                      <a:ext cx="5273675" cy="2823210"/>
                    </a:xfrm>
                    <a:prstGeom prst="rect">
                      <a:avLst/>
                    </a:prstGeom>
                  </pic:spPr>
                </pic:pic>
              </a:graphicData>
            </a:graphic>
          </wp:inline>
        </w:drawing>
      </w:r>
    </w:p>
    <w:p>
      <w:pPr>
        <w:numPr>
          <w:ilvl w:val="0"/>
          <w:numId w:val="0"/>
        </w:numPr>
        <w:ind w:leftChars="0"/>
        <w:rPr>
          <w:rFonts w:hint="default"/>
          <w:sz w:val="24"/>
          <w:szCs w:val="24"/>
          <w:lang w:val="en-US" w:eastAsia="zh-CN"/>
        </w:rPr>
      </w:pPr>
      <w:r>
        <w:rPr>
          <w:rFonts w:hint="default"/>
          <w:sz w:val="24"/>
          <w:szCs w:val="24"/>
          <w:lang w:val="en-US" w:eastAsia="zh-CN"/>
        </w:rPr>
        <w:t>DAX 指数及移动平均值</w:t>
      </w:r>
    </w:p>
    <w:p>
      <w:pPr>
        <w:numPr>
          <w:ilvl w:val="0"/>
          <w:numId w:val="0"/>
        </w:numPr>
        <w:ind w:leftChars="0"/>
        <w:rPr>
          <w:rFonts w:hint="eastAsia"/>
          <w:sz w:val="24"/>
          <w:szCs w:val="24"/>
          <w:lang w:val="en-US" w:eastAsia="zh-CN"/>
        </w:rPr>
      </w:pPr>
      <w:r>
        <w:rPr>
          <w:rFonts w:hint="eastAsia"/>
          <w:sz w:val="24"/>
          <w:szCs w:val="24"/>
          <w:lang w:val="en-US" w:eastAsia="zh-CN"/>
        </w:rPr>
        <w:drawing>
          <wp:inline distT="0" distB="0" distL="114300" distR="114300">
            <wp:extent cx="5273675" cy="2236470"/>
            <wp:effectExtent l="0" t="0" r="9525" b="11430"/>
            <wp:docPr id="40" name="图片 40"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7.5"/>
                    <pic:cNvPicPr>
                      <a:picLocks noChangeAspect="1"/>
                    </pic:cNvPicPr>
                  </pic:nvPicPr>
                  <pic:blipFill>
                    <a:blip r:embed="rId30"/>
                    <a:stretch>
                      <a:fillRect/>
                    </a:stretch>
                  </pic:blipFill>
                  <pic:spPr>
                    <a:xfrm>
                      <a:off x="0" y="0"/>
                      <a:ext cx="5273675" cy="2236470"/>
                    </a:xfrm>
                    <a:prstGeom prst="rect">
                      <a:avLst/>
                    </a:prstGeom>
                  </pic:spPr>
                </pic:pic>
              </a:graphicData>
            </a:graphic>
          </wp:inline>
        </w:drawing>
      </w:r>
    </w:p>
    <w:p>
      <w:pPr>
        <w:numPr>
          <w:ilvl w:val="0"/>
          <w:numId w:val="0"/>
        </w:numPr>
        <w:ind w:leftChars="0"/>
        <w:rPr>
          <w:rFonts w:hint="default"/>
          <w:sz w:val="24"/>
          <w:szCs w:val="24"/>
          <w:lang w:val="en-US" w:eastAsia="zh-CN"/>
        </w:rPr>
      </w:pPr>
      <w:r>
        <w:rPr>
          <w:rFonts w:hint="eastAsia"/>
          <w:sz w:val="24"/>
          <w:szCs w:val="24"/>
          <w:lang w:val="en-US" w:eastAsia="zh-CN"/>
        </w:rPr>
        <w:t>日K线</w:t>
      </w:r>
    </w:p>
    <w:p>
      <w:pPr>
        <w:numPr>
          <w:ilvl w:val="0"/>
          <w:numId w:val="0"/>
        </w:numPr>
        <w:ind w:leftChars="0"/>
        <w:rPr>
          <w:rFonts w:hint="default"/>
          <w:sz w:val="24"/>
          <w:szCs w:val="24"/>
          <w:lang w:val="en-US" w:eastAsia="zh-CN"/>
        </w:rPr>
      </w:pPr>
      <w:r>
        <w:rPr>
          <w:rFonts w:hint="eastAsia"/>
          <w:sz w:val="28"/>
          <w:szCs w:val="28"/>
          <w:lang w:val="en-US" w:eastAsia="zh-CN"/>
        </w:rPr>
        <w:t>3.数据分析</w:t>
      </w:r>
    </w:p>
    <w:p>
      <w:pPr>
        <w:rPr>
          <w:rFonts w:hint="default"/>
          <w:sz w:val="28"/>
          <w:szCs w:val="28"/>
          <w:lang w:val="en-US" w:eastAsia="zh-CN"/>
        </w:rPr>
      </w:pPr>
      <w:r>
        <w:rPr>
          <w:rFonts w:hint="default"/>
          <w:sz w:val="28"/>
          <w:szCs w:val="28"/>
          <w:lang w:val="en-US" w:eastAsia="zh-CN"/>
        </w:rPr>
        <w:t>迈瑞医疗疫情期间已向全国交付超过5万台设备</w:t>
      </w:r>
      <w:r>
        <w:rPr>
          <w:rFonts w:hint="eastAsia"/>
          <w:sz w:val="28"/>
          <w:szCs w:val="28"/>
          <w:lang w:val="en-US" w:eastAsia="zh-CN"/>
        </w:rPr>
        <w:t>，并捐赠大量资金投入到医院的建设当中。</w:t>
      </w:r>
      <w:r>
        <w:rPr>
          <w:rFonts w:hint="eastAsia"/>
          <w:sz w:val="28"/>
          <w:szCs w:val="28"/>
          <w:lang w:val="en-US" w:eastAsia="zh-CN"/>
        </w:rPr>
        <w:fldChar w:fldCharType="begin"/>
      </w:r>
      <w:r>
        <w:rPr>
          <w:rFonts w:hint="eastAsia"/>
          <w:sz w:val="28"/>
          <w:szCs w:val="28"/>
          <w:lang w:val="en-US" w:eastAsia="zh-CN"/>
        </w:rPr>
        <w:instrText xml:space="preserve"> HYPERLINK "http://quote.eastmoney.com/SZ300760.html" </w:instrText>
      </w:r>
      <w:r>
        <w:rPr>
          <w:rFonts w:hint="eastAsia"/>
          <w:sz w:val="28"/>
          <w:szCs w:val="28"/>
          <w:lang w:val="en-US" w:eastAsia="zh-CN"/>
        </w:rPr>
        <w:fldChar w:fldCharType="separate"/>
      </w:r>
      <w:r>
        <w:rPr>
          <w:rFonts w:hint="eastAsia"/>
          <w:sz w:val="28"/>
          <w:szCs w:val="28"/>
          <w:lang w:val="en-US" w:eastAsia="zh-CN"/>
        </w:rPr>
        <w:t>迈瑞医疗</w:t>
      </w:r>
      <w:r>
        <w:rPr>
          <w:rFonts w:hint="eastAsia"/>
          <w:sz w:val="28"/>
          <w:szCs w:val="28"/>
          <w:lang w:val="en-US" w:eastAsia="zh-CN"/>
        </w:rPr>
        <w:fldChar w:fldCharType="end"/>
      </w:r>
      <w:r>
        <w:rPr>
          <w:rFonts w:hint="eastAsia"/>
          <w:sz w:val="28"/>
          <w:szCs w:val="28"/>
          <w:lang w:val="en-US" w:eastAsia="zh-CN"/>
        </w:rPr>
        <w:t>作为一家主要生产呼吸机、检测试剂等医疗物资的公司，在此次疫情期间，国内订单激增，五月份，国内疫情好转，</w:t>
      </w:r>
      <w:r>
        <w:rPr>
          <w:rFonts w:hint="eastAsia"/>
          <w:sz w:val="28"/>
          <w:szCs w:val="28"/>
          <w:lang w:val="en-US" w:eastAsia="zh-CN"/>
        </w:rPr>
        <w:fldChar w:fldCharType="begin"/>
      </w:r>
      <w:r>
        <w:rPr>
          <w:rFonts w:hint="eastAsia"/>
          <w:sz w:val="28"/>
          <w:szCs w:val="28"/>
          <w:lang w:val="en-US" w:eastAsia="zh-CN"/>
        </w:rPr>
        <w:instrText xml:space="preserve"> HYPERLINK "http://quote.eastmoney.com/SZ300760.html" </w:instrText>
      </w:r>
      <w:r>
        <w:rPr>
          <w:rFonts w:hint="eastAsia"/>
          <w:sz w:val="28"/>
          <w:szCs w:val="28"/>
          <w:lang w:val="en-US" w:eastAsia="zh-CN"/>
        </w:rPr>
        <w:fldChar w:fldCharType="separate"/>
      </w:r>
      <w:r>
        <w:rPr>
          <w:rFonts w:hint="eastAsia"/>
          <w:sz w:val="28"/>
          <w:szCs w:val="28"/>
          <w:lang w:val="en-US" w:eastAsia="zh-CN"/>
        </w:rPr>
        <w:t>迈瑞医疗</w:t>
      </w:r>
      <w:r>
        <w:rPr>
          <w:rFonts w:hint="eastAsia"/>
          <w:sz w:val="28"/>
          <w:szCs w:val="28"/>
          <w:lang w:val="en-US" w:eastAsia="zh-CN"/>
        </w:rPr>
        <w:fldChar w:fldCharType="end"/>
      </w:r>
      <w:r>
        <w:rPr>
          <w:rFonts w:hint="eastAsia"/>
          <w:sz w:val="28"/>
          <w:szCs w:val="28"/>
          <w:lang w:val="en-US" w:eastAsia="zh-CN"/>
        </w:rPr>
        <w:t>开始转战国外现主要欧美国家，六月份，</w:t>
      </w:r>
      <w:r>
        <w:rPr>
          <w:rFonts w:hint="default"/>
          <w:sz w:val="28"/>
          <w:szCs w:val="28"/>
          <w:lang w:val="en-US" w:eastAsia="zh-CN"/>
        </w:rPr>
        <w:t>北京新发地市场的聚集性传播和全球疫情继续恶化</w:t>
      </w:r>
      <w:r>
        <w:rPr>
          <w:rFonts w:hint="eastAsia"/>
          <w:sz w:val="28"/>
          <w:szCs w:val="28"/>
          <w:lang w:val="en-US" w:eastAsia="zh-CN"/>
        </w:rPr>
        <w:t>，迈瑞医疗营收持续上涨。迈瑞医疗4月28日晚间发布一季度报显示，企业期内实现营收47亿元，归属于上市公司股东净利润13亿元。对于好成绩，企业表示，生命信息与支持产线“全线爆发”，监护仪、呼吸机、输注泵销量提升明显；医学影像产线的便携彩超、移动DR等多种仪器也在疫情期间实现销量增长。</w:t>
      </w:r>
    </w:p>
    <w:p>
      <w:pPr>
        <w:rPr>
          <w:rFonts w:hint="eastAsia"/>
          <w:sz w:val="28"/>
          <w:szCs w:val="28"/>
          <w:lang w:val="en-US" w:eastAsia="zh-CN"/>
        </w:rPr>
      </w:pPr>
      <w:r>
        <w:rPr>
          <w:rFonts w:hint="eastAsia"/>
          <w:sz w:val="28"/>
          <w:szCs w:val="28"/>
          <w:lang w:val="en-US" w:eastAsia="zh-CN"/>
        </w:rPr>
        <w:t>从图表可以看出，迈瑞医疗是本文调查疫情以来，涨幅最好的公司。作为医疗器械的龙头企业，迈瑞医疗毫无疑问也是在医疗领域营收拔尖的公司。迈瑞医疗自疫情以来，订单一直处于满额的状态，与去年同期相比，营业额有翻倍的态势。</w:t>
      </w:r>
    </w:p>
    <w:p>
      <w:pPr>
        <w:widowControl w:val="0"/>
        <w:numPr>
          <w:ilvl w:val="0"/>
          <w:numId w:val="0"/>
        </w:numPr>
        <w:ind w:leftChars="0"/>
        <w:jc w:val="both"/>
        <w:rPr>
          <w:rFonts w:hint="default"/>
          <w:sz w:val="28"/>
          <w:szCs w:val="28"/>
          <w:lang w:val="en-US" w:eastAsia="zh-CN"/>
        </w:rPr>
      </w:pPr>
      <w:r>
        <w:rPr>
          <w:rFonts w:hint="eastAsia"/>
          <w:sz w:val="28"/>
          <w:szCs w:val="28"/>
          <w:lang w:val="en-US" w:eastAsia="zh-CN"/>
        </w:rPr>
        <w:t>下图将上述三类的五个公司放在同一个图表当中，</w:t>
      </w:r>
    </w:p>
    <w:p>
      <w:pPr>
        <w:widowControl w:val="0"/>
        <w:numPr>
          <w:ilvl w:val="0"/>
          <w:numId w:val="0"/>
        </w:numPr>
        <w:ind w:leftChars="0"/>
        <w:jc w:val="both"/>
        <w:rPr>
          <w:rFonts w:hint="eastAsia"/>
          <w:sz w:val="28"/>
          <w:szCs w:val="28"/>
          <w:lang w:val="en-US" w:eastAsia="zh-CN"/>
        </w:rPr>
      </w:pPr>
      <w:r>
        <w:rPr>
          <w:rFonts w:hint="eastAsia"/>
          <w:sz w:val="28"/>
          <w:szCs w:val="28"/>
          <w:lang w:val="en-US" w:eastAsia="zh-CN"/>
        </w:rPr>
        <w:drawing>
          <wp:inline distT="0" distB="0" distL="114300" distR="114300">
            <wp:extent cx="5267960" cy="2843530"/>
            <wp:effectExtent l="0" t="0" r="2540" b="1270"/>
            <wp:docPr id="35" name="图片 35" descr="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6.1"/>
                    <pic:cNvPicPr>
                      <a:picLocks noChangeAspect="1"/>
                    </pic:cNvPicPr>
                  </pic:nvPicPr>
                  <pic:blipFill>
                    <a:blip r:embed="rId31"/>
                    <a:stretch>
                      <a:fillRect/>
                    </a:stretch>
                  </pic:blipFill>
                  <pic:spPr>
                    <a:xfrm>
                      <a:off x="0" y="0"/>
                      <a:ext cx="5267960" cy="2843530"/>
                    </a:xfrm>
                    <a:prstGeom prst="rect">
                      <a:avLst/>
                    </a:prstGeom>
                  </pic:spPr>
                </pic:pic>
              </a:graphicData>
            </a:graphic>
          </wp:inline>
        </w:drawing>
      </w:r>
      <w:r>
        <w:rPr>
          <w:rFonts w:hint="eastAsia"/>
          <w:sz w:val="28"/>
          <w:szCs w:val="28"/>
          <w:lang w:val="en-US" w:eastAsia="zh-CN"/>
        </w:rPr>
        <w:drawing>
          <wp:inline distT="0" distB="0" distL="114300" distR="114300">
            <wp:extent cx="5273675" cy="2776855"/>
            <wp:effectExtent l="0" t="0" r="9525" b="4445"/>
            <wp:docPr id="36" name="图片 36" descr="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6.2"/>
                    <pic:cNvPicPr>
                      <a:picLocks noChangeAspect="1"/>
                    </pic:cNvPicPr>
                  </pic:nvPicPr>
                  <pic:blipFill>
                    <a:blip r:embed="rId32"/>
                    <a:stretch>
                      <a:fillRect/>
                    </a:stretch>
                  </pic:blipFill>
                  <pic:spPr>
                    <a:xfrm>
                      <a:off x="0" y="0"/>
                      <a:ext cx="5273675" cy="2776855"/>
                    </a:xfrm>
                    <a:prstGeom prst="rect">
                      <a:avLst/>
                    </a:prstGeom>
                  </pic:spPr>
                </pic:pic>
              </a:graphicData>
            </a:graphic>
          </wp:inline>
        </w:drawing>
      </w:r>
      <w:r>
        <w:rPr>
          <w:rFonts w:hint="eastAsia"/>
          <w:sz w:val="28"/>
          <w:szCs w:val="28"/>
          <w:lang w:val="en-US" w:eastAsia="zh-CN"/>
        </w:rPr>
        <w:drawing>
          <wp:inline distT="0" distB="0" distL="114300" distR="114300">
            <wp:extent cx="5271135" cy="2877185"/>
            <wp:effectExtent l="0" t="0" r="12065" b="5715"/>
            <wp:docPr id="37" name="图片 37" descr="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6.3"/>
                    <pic:cNvPicPr>
                      <a:picLocks noChangeAspect="1"/>
                    </pic:cNvPicPr>
                  </pic:nvPicPr>
                  <pic:blipFill>
                    <a:blip r:embed="rId33"/>
                    <a:stretch>
                      <a:fillRect/>
                    </a:stretch>
                  </pic:blipFill>
                  <pic:spPr>
                    <a:xfrm>
                      <a:off x="0" y="0"/>
                      <a:ext cx="5271135" cy="2877185"/>
                    </a:xfrm>
                    <a:prstGeom prst="rect">
                      <a:avLst/>
                    </a:prstGeom>
                  </pic:spPr>
                </pic:pic>
              </a:graphicData>
            </a:graphic>
          </wp:inline>
        </w:drawing>
      </w:r>
    </w:p>
    <w:p>
      <w:pPr>
        <w:widowControl w:val="0"/>
        <w:numPr>
          <w:ilvl w:val="0"/>
          <w:numId w:val="0"/>
        </w:numPr>
        <w:ind w:leftChars="0"/>
        <w:jc w:val="both"/>
        <w:rPr>
          <w:rFonts w:hint="eastAsia"/>
          <w:sz w:val="28"/>
          <w:szCs w:val="28"/>
          <w:lang w:val="en-US" w:eastAsia="zh-CN"/>
        </w:rPr>
      </w:pPr>
      <w:r>
        <w:rPr>
          <w:rFonts w:hint="eastAsia"/>
          <w:sz w:val="28"/>
          <w:szCs w:val="28"/>
          <w:lang w:val="en-US" w:eastAsia="zh-CN"/>
        </w:rPr>
        <w:t>马应龙和国药股份相关性对比：两者相关性较小</w:t>
      </w:r>
    </w:p>
    <w:p>
      <w:pPr>
        <w:widowControl w:val="0"/>
        <w:numPr>
          <w:ilvl w:val="0"/>
          <w:numId w:val="0"/>
        </w:numPr>
        <w:ind w:leftChars="0"/>
        <w:jc w:val="both"/>
        <w:rPr>
          <w:rFonts w:hint="eastAsia"/>
          <w:sz w:val="28"/>
          <w:szCs w:val="28"/>
          <w:lang w:val="en-US" w:eastAsia="zh-CN"/>
        </w:rPr>
      </w:pPr>
      <w:r>
        <w:rPr>
          <w:rFonts w:hint="eastAsia"/>
          <w:sz w:val="28"/>
          <w:szCs w:val="28"/>
          <w:lang w:val="en-US" w:eastAsia="zh-CN"/>
        </w:rPr>
        <w:drawing>
          <wp:inline distT="0" distB="0" distL="114300" distR="114300">
            <wp:extent cx="4830445" cy="1871345"/>
            <wp:effectExtent l="0" t="0" r="8255" b="8255"/>
            <wp:docPr id="38" name="图片 38" descr="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6.4"/>
                    <pic:cNvPicPr>
                      <a:picLocks noChangeAspect="1"/>
                    </pic:cNvPicPr>
                  </pic:nvPicPr>
                  <pic:blipFill>
                    <a:blip r:embed="rId34"/>
                    <a:srcRect r="19966" b="-1665"/>
                    <a:stretch>
                      <a:fillRect/>
                    </a:stretch>
                  </pic:blipFill>
                  <pic:spPr>
                    <a:xfrm>
                      <a:off x="0" y="0"/>
                      <a:ext cx="4830445" cy="1871345"/>
                    </a:xfrm>
                    <a:prstGeom prst="rect">
                      <a:avLst/>
                    </a:prstGeom>
                  </pic:spPr>
                </pic:pic>
              </a:graphicData>
            </a:graphic>
          </wp:inline>
        </w:drawing>
      </w:r>
      <w:r>
        <w:rPr>
          <w:rFonts w:hint="eastAsia"/>
          <w:sz w:val="28"/>
          <w:szCs w:val="28"/>
          <w:lang w:val="en-US" w:eastAsia="zh-CN"/>
        </w:rPr>
        <w:drawing>
          <wp:inline distT="0" distB="0" distL="114300" distR="114300">
            <wp:extent cx="5267325" cy="2869565"/>
            <wp:effectExtent l="0" t="0" r="3175" b="635"/>
            <wp:docPr id="39" name="图片 39" descr="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6.5"/>
                    <pic:cNvPicPr>
                      <a:picLocks noChangeAspect="1"/>
                    </pic:cNvPicPr>
                  </pic:nvPicPr>
                  <pic:blipFill>
                    <a:blip r:embed="rId35"/>
                    <a:stretch>
                      <a:fillRect/>
                    </a:stretch>
                  </pic:blipFill>
                  <pic:spPr>
                    <a:xfrm>
                      <a:off x="0" y="0"/>
                      <a:ext cx="5267325" cy="2869565"/>
                    </a:xfrm>
                    <a:prstGeom prst="rect">
                      <a:avLst/>
                    </a:prstGeom>
                  </pic:spPr>
                </pic:pic>
              </a:graphicData>
            </a:graphic>
          </wp:inline>
        </w:drawing>
      </w:r>
    </w:p>
    <w:p>
      <w:pPr>
        <w:widowControl w:val="0"/>
        <w:numPr>
          <w:ilvl w:val="0"/>
          <w:numId w:val="0"/>
        </w:numPr>
        <w:ind w:leftChars="0"/>
        <w:jc w:val="both"/>
        <w:rPr>
          <w:rFonts w:hint="default"/>
          <w:sz w:val="28"/>
          <w:szCs w:val="28"/>
          <w:lang w:val="en-US" w:eastAsia="zh-CN"/>
        </w:rPr>
      </w:pPr>
      <w:r>
        <w:rPr>
          <w:rFonts w:hint="eastAsia"/>
          <w:sz w:val="28"/>
          <w:szCs w:val="28"/>
          <w:lang w:val="en-US" w:eastAsia="zh-CN"/>
        </w:rPr>
        <w:t>马应龙（600993）太极集团（600129）国药股份（600511）、健康元（600380）、迈瑞医疗（300760）两两的相关性比较</w:t>
      </w:r>
    </w:p>
    <w:p>
      <w:pPr>
        <w:widowControl w:val="0"/>
        <w:numPr>
          <w:ilvl w:val="0"/>
          <w:numId w:val="0"/>
        </w:numPr>
        <w:ind w:leftChars="0"/>
        <w:jc w:val="both"/>
        <w:rPr>
          <w:rFonts w:hint="eastAsia"/>
          <w:sz w:val="28"/>
          <w:szCs w:val="28"/>
          <w:lang w:val="en-US" w:eastAsia="zh-CN"/>
        </w:rPr>
      </w:pPr>
      <w:r>
        <w:rPr>
          <w:rFonts w:hint="eastAsia"/>
          <w:sz w:val="28"/>
          <w:szCs w:val="28"/>
          <w:lang w:val="en-US" w:eastAsia="zh-CN"/>
        </w:rPr>
        <w:t>从图中可以看出，太极集团和健康元、健康元和马应龙的相关性较好，这三个企业都属于传统新型企业，受到一定的消费水平的影响，在疫情之后也受到相应经济的波动，与上一部分分析较吻合。</w:t>
      </w:r>
    </w:p>
    <w:p>
      <w:pPr>
        <w:widowControl w:val="0"/>
        <w:numPr>
          <w:ilvl w:val="0"/>
          <w:numId w:val="0"/>
        </w:numPr>
        <w:ind w:leftChars="0"/>
        <w:jc w:val="both"/>
        <w:rPr>
          <w:rFonts w:hint="default"/>
          <w:sz w:val="28"/>
          <w:szCs w:val="28"/>
          <w:lang w:val="en-US" w:eastAsia="zh-CN"/>
        </w:rPr>
      </w:pPr>
      <w:r>
        <w:rPr>
          <w:rFonts w:hint="eastAsia"/>
          <w:sz w:val="28"/>
          <w:szCs w:val="28"/>
          <w:lang w:val="en-US" w:eastAsia="zh-CN"/>
        </w:rPr>
        <w:t>而医疗器械（迈瑞医疗）无论从整体营业额还是涨势都与其他四类企业不同，结合之前数据基本可以得出结论，医疗器械受疫情大幅影响上升，远超其他医药企业，与分析相吻合。</w:t>
      </w:r>
    </w:p>
    <w:p>
      <w:pPr>
        <w:widowControl w:val="0"/>
        <w:numPr>
          <w:ilvl w:val="0"/>
          <w:numId w:val="0"/>
        </w:numPr>
        <w:jc w:val="both"/>
        <w:rPr>
          <w:rFonts w:hint="eastAsia"/>
          <w:sz w:val="28"/>
          <w:szCs w:val="28"/>
          <w:lang w:val="en-US" w:eastAsia="zh-CN"/>
        </w:rPr>
      </w:pPr>
      <w:r>
        <w:rPr>
          <w:rFonts w:hint="eastAsia"/>
          <w:sz w:val="28"/>
          <w:szCs w:val="28"/>
          <w:lang w:val="en-US" w:eastAsia="zh-CN"/>
        </w:rPr>
        <w:t>注：</w:t>
      </w:r>
      <w:r>
        <w:rPr>
          <w:rFonts w:hint="default"/>
          <w:sz w:val="28"/>
          <w:szCs w:val="28"/>
          <w:lang w:val="en-US" w:eastAsia="zh-CN"/>
        </w:rPr>
        <w:t>股票的涨跌受诸多因素的影响，可能有政策原因，大环境原因，企业内部原因，不同企业之间的相关性等等，</w:t>
      </w:r>
      <w:r>
        <w:rPr>
          <w:rFonts w:hint="eastAsia"/>
          <w:sz w:val="28"/>
          <w:szCs w:val="28"/>
          <w:lang w:val="en-US" w:eastAsia="zh-CN"/>
        </w:rPr>
        <w:t>数据只是预测的参考之一。</w:t>
      </w:r>
    </w:p>
    <w:p>
      <w:pPr>
        <w:rPr>
          <w:rFonts w:hint="default"/>
          <w:sz w:val="28"/>
          <w:szCs w:val="28"/>
          <w:lang w:val="en-US" w:eastAsia="zh-CN"/>
        </w:rPr>
      </w:pPr>
      <w:r>
        <w:rPr>
          <w:rFonts w:hint="eastAsia"/>
          <w:sz w:val="28"/>
          <w:szCs w:val="28"/>
          <w:lang w:val="en-US" w:eastAsia="zh-CN"/>
        </w:rPr>
        <w:t>（三）对比三类企业</w:t>
      </w:r>
    </w:p>
    <w:p>
      <w:pPr>
        <w:ind w:firstLine="560" w:firstLineChars="200"/>
        <w:rPr>
          <w:rFonts w:hint="eastAsia"/>
          <w:sz w:val="28"/>
          <w:szCs w:val="28"/>
          <w:lang w:val="en-US" w:eastAsia="zh-CN"/>
        </w:rPr>
      </w:pPr>
      <w:r>
        <w:rPr>
          <w:rFonts w:hint="eastAsia"/>
          <w:sz w:val="28"/>
          <w:szCs w:val="28"/>
          <w:lang w:val="en-US" w:eastAsia="zh-CN"/>
        </w:rPr>
        <w:t>以上是对三类医药板块的股票走势以及波动性的分析，基于以上数据显示，可以大致得出一下结论：对于消费级的传统型医药企业，在疫情期间，由于药店停止营业等政策性影响，影响营收，但在疫情结束后，一些市场名气大的医药企业营业额出现大幅度回升，并且，在疫情越来越好转的同时，为了满足疫情期间搁置的消费需求，消费型医药企业的营业额将会有一定程度的回升；对于创新及创新产业链，需因各个企业的产品方向来定，对于抗生素、疫苗研发类的企业营业额会有上升；医疗器械类的企业营收上升最为明显，国内外疫情对于呼吸机口罩的大量需求促进了大量此类企业的发展。</w:t>
      </w:r>
    </w:p>
    <w:p>
      <w:pPr>
        <w:ind w:firstLine="560" w:firstLineChars="200"/>
        <w:rPr>
          <w:rFonts w:hint="default"/>
          <w:sz w:val="28"/>
          <w:szCs w:val="28"/>
          <w:lang w:val="en-US" w:eastAsia="zh-CN"/>
        </w:rPr>
      </w:pPr>
      <w:r>
        <w:rPr>
          <w:rFonts w:hint="eastAsia"/>
          <w:sz w:val="28"/>
          <w:szCs w:val="28"/>
          <w:lang w:val="en-US" w:eastAsia="zh-CN"/>
        </w:rPr>
        <w:t>值得一提的是，随着海外疫情的蔓延以及国内防控的持续推进，新冠检测需求会持续较长时间。当前全球范围内，新冠检测仍存在较大缺口。由此推测，主营业务涉及新冠病毒检测和医疗器械生产的企业未来业绩有望持续增长。</w:t>
      </w:r>
    </w:p>
    <w:p>
      <w:pPr>
        <w:widowControl w:val="0"/>
        <w:numPr>
          <w:ilvl w:val="0"/>
          <w:numId w:val="1"/>
        </w:numPr>
        <w:ind w:left="0" w:leftChars="0" w:firstLine="0" w:firstLineChars="0"/>
        <w:jc w:val="both"/>
        <w:rPr>
          <w:rFonts w:hint="eastAsia"/>
          <w:sz w:val="28"/>
          <w:szCs w:val="28"/>
          <w:lang w:val="en-US" w:eastAsia="zh-CN"/>
        </w:rPr>
      </w:pPr>
      <w:r>
        <w:rPr>
          <w:rFonts w:hint="eastAsia"/>
          <w:sz w:val="28"/>
          <w:szCs w:val="28"/>
          <w:lang w:val="en-US" w:eastAsia="zh-CN"/>
        </w:rPr>
        <w:t>问题解决的效果</w:t>
      </w:r>
    </w:p>
    <w:p>
      <w:pPr>
        <w:rPr>
          <w:rFonts w:hint="default"/>
          <w:sz w:val="28"/>
          <w:szCs w:val="28"/>
          <w:lang w:val="en-US" w:eastAsia="zh-CN"/>
        </w:rPr>
      </w:pPr>
      <w:r>
        <w:rPr>
          <w:rFonts w:hint="eastAsia"/>
          <w:sz w:val="28"/>
          <w:szCs w:val="28"/>
          <w:lang w:val="en-US" w:eastAsia="zh-CN"/>
        </w:rPr>
        <w:t>（一）总结</w:t>
      </w:r>
    </w:p>
    <w:p>
      <w:pPr>
        <w:ind w:firstLine="560" w:firstLineChars="200"/>
        <w:rPr>
          <w:rFonts w:hint="eastAsia"/>
          <w:sz w:val="28"/>
          <w:szCs w:val="28"/>
          <w:lang w:val="en-US" w:eastAsia="zh-CN"/>
        </w:rPr>
      </w:pPr>
      <w:r>
        <w:rPr>
          <w:rFonts w:hint="eastAsia"/>
          <w:sz w:val="28"/>
          <w:szCs w:val="28"/>
          <w:lang w:val="en-US" w:eastAsia="zh-CN"/>
        </w:rPr>
        <w:t>以上是对三类医药板块的股票走势以及波动性的分析，基于以上数据显示，可以大致得出一下结论：对于消费级的传统型医药企业，在疫情期间，由于药店停止营业等政策性影响，影响营收，但在疫情结束后，一些市场名气大的医药企业营业额出现大幅度回升，并且，在疫情越来越好转的同时，为了满足疫情期间搁置的消费需求，消费型医药企业的营业额将会有一定程度的回升；对于创新及创新产业链，需因各个企业的产品方向来定，对于抗生素、疫苗研发类的企业营业额会有上升；医疗器械类的企业营收上升最为明显，国内外疫情对于呼吸机口罩的大量需求促进了大量此类企业的发展。</w:t>
      </w:r>
    </w:p>
    <w:p>
      <w:pPr>
        <w:ind w:firstLine="560" w:firstLineChars="200"/>
        <w:rPr>
          <w:rFonts w:hint="default"/>
          <w:sz w:val="28"/>
          <w:szCs w:val="28"/>
          <w:lang w:val="en-US" w:eastAsia="zh-CN"/>
        </w:rPr>
      </w:pPr>
      <w:r>
        <w:rPr>
          <w:rFonts w:hint="eastAsia"/>
          <w:sz w:val="28"/>
          <w:szCs w:val="28"/>
          <w:lang w:val="en-US" w:eastAsia="zh-CN"/>
        </w:rPr>
        <w:t>值得一提的是，随着海外疫情的蔓延以及国内防控的持续推进，新冠检测需求会持续较长时间。当前全球范围内，新冠检测仍存在较大缺口。由此推测，主营业务涉及新冠病毒检测和医疗器械生产的企业未来业绩有望持续增长。</w:t>
      </w:r>
    </w:p>
    <w:p>
      <w:pPr>
        <w:widowControl w:val="0"/>
        <w:numPr>
          <w:ilvl w:val="0"/>
          <w:numId w:val="0"/>
        </w:numPr>
        <w:jc w:val="both"/>
        <w:rPr>
          <w:rFonts w:hint="default"/>
          <w:sz w:val="28"/>
          <w:szCs w:val="28"/>
          <w:lang w:val="en-US" w:eastAsia="zh-CN"/>
        </w:rPr>
      </w:pPr>
      <w:r>
        <w:rPr>
          <w:rFonts w:hint="eastAsia"/>
          <w:sz w:val="28"/>
          <w:szCs w:val="28"/>
          <w:lang w:val="en-US" w:eastAsia="zh-CN"/>
        </w:rPr>
        <w:t>（二）未来预测</w:t>
      </w:r>
    </w:p>
    <w:p>
      <w:pPr>
        <w:widowControl w:val="0"/>
        <w:numPr>
          <w:ilvl w:val="0"/>
          <w:numId w:val="0"/>
        </w:numPr>
        <w:jc w:val="both"/>
        <w:rPr>
          <w:rFonts w:hint="default"/>
          <w:sz w:val="28"/>
          <w:szCs w:val="28"/>
          <w:lang w:val="en-US" w:eastAsia="zh-CN"/>
        </w:rPr>
      </w:pPr>
      <w:r>
        <w:rPr>
          <w:rFonts w:hint="eastAsia"/>
          <w:sz w:val="28"/>
          <w:szCs w:val="28"/>
          <w:lang w:val="en-US" w:eastAsia="zh-CN"/>
        </w:rPr>
        <w:t>目前</w:t>
      </w:r>
      <w:r>
        <w:rPr>
          <w:rFonts w:hint="default"/>
          <w:sz w:val="28"/>
          <w:szCs w:val="28"/>
          <w:lang w:val="en-US" w:eastAsia="zh-CN"/>
        </w:rPr>
        <w:t>北京新发地市场的聚集性传播和全球疫情继续恶化,催动医药板块</w:t>
      </w:r>
      <w:r>
        <w:rPr>
          <w:rFonts w:hint="eastAsia"/>
          <w:sz w:val="28"/>
          <w:szCs w:val="28"/>
          <w:lang w:val="en-US" w:eastAsia="zh-CN"/>
        </w:rPr>
        <w:t>将</w:t>
      </w:r>
      <w:r>
        <w:rPr>
          <w:rFonts w:hint="default"/>
          <w:sz w:val="28"/>
          <w:szCs w:val="28"/>
          <w:lang w:val="en-US" w:eastAsia="zh-CN"/>
        </w:rPr>
        <w:t>持续上涨。疫情防控进入常态化阶段,各地的病毒检测能力成为补足医疗短板的重要一环,短期内建议继续关注疫情防护相关的器械和病毒检测领域。从长期来看,立足于中国未来的人口结构和消费趋势的变化,</w:t>
      </w:r>
      <w:r>
        <w:rPr>
          <w:rFonts w:hint="eastAsia"/>
          <w:sz w:val="28"/>
          <w:szCs w:val="28"/>
          <w:lang w:val="en-US" w:eastAsia="zh-CN"/>
        </w:rPr>
        <w:t>以下产业可能会上升</w:t>
      </w:r>
      <w:r>
        <w:rPr>
          <w:rFonts w:hint="default"/>
          <w:sz w:val="28"/>
          <w:szCs w:val="28"/>
          <w:lang w:val="en-US" w:eastAsia="zh-CN"/>
        </w:rPr>
        <w:t>1、创新及创新产业链,也包括高端难仿制剂,</w:t>
      </w:r>
      <w:r>
        <w:rPr>
          <w:rFonts w:hint="eastAsia"/>
          <w:sz w:val="28"/>
          <w:szCs w:val="28"/>
          <w:lang w:val="en-US" w:eastAsia="zh-CN"/>
        </w:rPr>
        <w:t>由图表数据看，上述三家企业后续都有可能继续上升</w:t>
      </w:r>
      <w:r>
        <w:rPr>
          <w:rFonts w:hint="default"/>
          <w:sz w:val="28"/>
          <w:szCs w:val="28"/>
          <w:lang w:val="en-US" w:eastAsia="zh-CN"/>
        </w:rPr>
        <w:t>。2、改善性需求源于居民对美好生活的向往,健康领域的消费升级催生相关需求的进一步提升,建议关注消费升级标的,比如</w:t>
      </w:r>
      <w:r>
        <w:rPr>
          <w:rFonts w:hint="eastAsia"/>
          <w:sz w:val="28"/>
          <w:szCs w:val="28"/>
          <w:lang w:val="en-US" w:eastAsia="zh-CN"/>
        </w:rPr>
        <w:t>马应龙（600993）</w:t>
      </w:r>
      <w:r>
        <w:rPr>
          <w:rFonts w:hint="default"/>
          <w:sz w:val="28"/>
          <w:szCs w:val="28"/>
          <w:lang w:val="en-US" w:eastAsia="zh-CN"/>
        </w:rPr>
        <w:t>及高端疫苗相关标的。3、医疗补短板会是后疫情时代的重要落脚点,尤其是医疗器械领域的进口替代会加速进行,建议关注器械龙头迈瑞医疗(300760)等。</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4B4269"/>
    <w:multiLevelType w:val="singleLevel"/>
    <w:tmpl w:val="834B4269"/>
    <w:lvl w:ilvl="0" w:tentative="0">
      <w:start w:val="2"/>
      <w:numFmt w:val="decimal"/>
      <w:suff w:val="nothing"/>
      <w:lvlText w:val="（%1）"/>
      <w:lvlJc w:val="left"/>
    </w:lvl>
  </w:abstractNum>
  <w:abstractNum w:abstractNumId="1">
    <w:nsid w:val="DA42A1BD"/>
    <w:multiLevelType w:val="singleLevel"/>
    <w:tmpl w:val="DA42A1BD"/>
    <w:lvl w:ilvl="0" w:tentative="0">
      <w:start w:val="2"/>
      <w:numFmt w:val="chineseCounting"/>
      <w:suff w:val="nothing"/>
      <w:lvlText w:val="%1、"/>
      <w:lvlJc w:val="left"/>
      <w:rPr>
        <w:rFonts w:hint="eastAsia"/>
      </w:rPr>
    </w:lvl>
  </w:abstractNum>
  <w:abstractNum w:abstractNumId="2">
    <w:nsid w:val="E3C71D0F"/>
    <w:multiLevelType w:val="singleLevel"/>
    <w:tmpl w:val="E3C71D0F"/>
    <w:lvl w:ilvl="0" w:tentative="0">
      <w:start w:val="2"/>
      <w:numFmt w:val="chineseCounting"/>
      <w:suff w:val="nothing"/>
      <w:lvlText w:val="（%1）"/>
      <w:lvlJc w:val="left"/>
      <w:rPr>
        <w:rFonts w:hint="eastAsia"/>
      </w:rPr>
    </w:lvl>
  </w:abstractNum>
  <w:abstractNum w:abstractNumId="3">
    <w:nsid w:val="57A537BB"/>
    <w:multiLevelType w:val="singleLevel"/>
    <w:tmpl w:val="57A537BB"/>
    <w:lvl w:ilvl="0" w:tentative="0">
      <w:start w:val="1"/>
      <w:numFmt w:val="decimal"/>
      <w:lvlText w:val="%1."/>
      <w:lvlJc w:val="left"/>
      <w:pPr>
        <w:tabs>
          <w:tab w:val="left" w:pos="312"/>
        </w:tabs>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4AC105C"/>
    <w:rsid w:val="37F20A3B"/>
    <w:rsid w:val="433D3549"/>
    <w:rsid w:val="4EC451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2020-06-23T12:28:00Z</dcterms:created>
  <dc:creator>Lenovo</dc:creator>
  <cp:lastModifiedBy>掠清雪凉</cp:lastModifiedBy>
  <dcterms:modified xsi:type="dcterms:W3CDTF">2021-04-08T11:27:14Z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