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8"/>
        </w:rPr>
        <w:t>Camunda Archive HLD - Architecture</w:t>
      </w:r>
    </w:p>
    <w:p>
      <w:pPr>
        <w:spacing w:after="240"/>
      </w:pPr>
      <w:r>
        <w:rPr>
          <w:rFonts w:ascii="Calibri" w:hAnsi="Calibri"/>
          <w:i/>
          <w:color w:val="5A636F"/>
          <w:sz w:val="24"/>
        </w:rPr>
        <w:t>High-Level Design and Technical Reference</w:t>
      </w:r>
    </w:p>
    <w:p>
      <w:pPr>
        <w:pBdr>
          <w:bottom w:val="single" w:sz="8" w:space="6" w:color="9EB7D5"/>
        </w:pBdr>
      </w:pPr>
    </w:p>
    <w:p>
      <w:r>
        <w:rPr>
          <w:rFonts w:ascii="Calibri" w:hAnsi="Calibri"/>
          <w:sz w:val="22"/>
        </w:rPr>
        <w:t xml:space="preserve">For the full enterprise white paper, see </w:t>
      </w:r>
      <w:hyperlink r:id="rId11">
        <w:r>
          <w:rPr>
            <w:color w:val="0563C1"/>
            <w:u w:val="single"/>
          </w:rPr>
          <w:t>Camunda Data Archiving Project White Paper</w:t>
        </w:r>
      </w:hyperlink>
      <w:r>
        <w:rPr>
          <w:rFonts w:ascii="Calibri" w:hAnsi="Calibri"/>
          <w:sz w:val="22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40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unda_Archive_HLD_Architecture_figur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0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Diagram generated from the source Markdown.</w:t>
      </w:r>
    </w:p>
    <w:p>
      <w:pPr>
        <w:pStyle w:val="Heading1"/>
      </w:pPr>
      <w:r>
        <w:t>Modules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camunda-api-module</w:t>
      </w:r>
      <w:r>
        <w:rPr>
          <w:rFonts w:ascii="Calibri" w:hAnsi="Calibri"/>
          <w:sz w:val="22"/>
        </w:rPr>
        <w:t>: typed Camunda REST adapter for process, history, incident, variables, XML, start, and modification APIs.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archive-module</w:t>
      </w:r>
      <w:r>
        <w:rPr>
          <w:rFonts w:ascii="Calibri" w:hAnsi="Calibri"/>
          <w:sz w:val="22"/>
        </w:rPr>
        <w:t>: archive repositories and services for completed, failed, and old suspended workflow history. It moves history rows from Camunda history tables to duplicate archive tables.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restore-module</w:t>
      </w:r>
      <w:r>
        <w:rPr>
          <w:rFonts w:ascii="Calibri" w:hAnsi="Calibri"/>
          <w:sz w:val="22"/>
        </w:rPr>
        <w:t>: re-sync service that moves archived history rows back into the original Camunda history tables and removes them from archive tables.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scheduler-module</w:t>
      </w:r>
      <w:r>
        <w:rPr>
          <w:rFonts w:ascii="Calibri" w:hAnsi="Calibri"/>
          <w:sz w:val="22"/>
        </w:rPr>
        <w:t>: node-cron schedules for archive, cleanup, consistency validation, and statistics.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workflow-module</w:t>
      </w:r>
      <w:r>
        <w:rPr>
          <w:rFonts w:ascii="Calibri" w:hAnsi="Calibri"/>
          <w:sz w:val="22"/>
        </w:rPr>
        <w:t>: live and historic monitoring APIs.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incident-module</w:t>
      </w:r>
      <w:r>
        <w:rPr>
          <w:rFonts w:ascii="Calibri" w:hAnsi="Calibri"/>
          <w:sz w:val="22"/>
        </w:rPr>
        <w:t>: Camunda incident monitoring APIs.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analytics-module</w:t>
      </w:r>
      <w:r>
        <w:rPr>
          <w:rFonts w:ascii="Calibri" w:hAnsi="Calibri"/>
          <w:sz w:val="22"/>
        </w:rPr>
        <w:t>: dashboard counts, failure analytics, workflow trends, cleanup run summaries.</w:t>
      </w:r>
    </w:p>
    <w:p>
      <w:pPr>
        <w:pStyle w:val="ListBullet"/>
      </w:pPr>
      <w:r>
        <w:rPr>
          <w:rFonts w:ascii="Consolas" w:hAnsi="Consolas"/>
          <w:color w:val="1E1E1E"/>
          <w:sz w:val="19"/>
        </w:rPr>
        <w:t>bpmn-viewer-module</w:t>
      </w:r>
      <w:r>
        <w:rPr>
          <w:rFonts w:ascii="Calibri" w:hAnsi="Calibri"/>
          <w:sz w:val="22"/>
        </w:rPr>
        <w:t>: BPMN XML plus executed and failed activity timeline.</w:t>
      </w:r>
    </w:p>
    <w:p>
      <w:pPr>
        <w:pStyle w:val="Heading1"/>
      </w:pPr>
      <w:r>
        <w:t>Local UI Surfaces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Surface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URL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Purpose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Angular web UI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`http://localhost:4200`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Operator workflow monitoring, archive, re-sync, restore, incidents, and operations pages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API Swagger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`http://localhost:3000/api/docs`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OpenAPI documentation and manual endpoint testing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Camunda web apps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`http://localhost:8080`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Camunda Cockpit, Tasklist, and Admin for the embedded Camunda 7 engine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Adminer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`http://localhost:8081`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Local PostgreSQL inspection for Camunda DB and archive DB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Prometheus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`http://localhost:9090`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Metrics scrape and query UI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Grafana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`http://localhost:3001`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Dashboard shell with provisioning</w:t>
            </w:r>
          </w:p>
        </w:tc>
      </w:tr>
    </w:tbl>
    <w:p>
      <w:pPr>
        <w:pStyle w:val="Heading1"/>
      </w:pPr>
      <w:r>
        <w:t>Database Topology</w:t>
      </w:r>
    </w:p>
    <w:p>
      <w:r>
        <w:rPr>
          <w:rFonts w:ascii="Calibri" w:hAnsi="Calibri"/>
          <w:sz w:val="22"/>
        </w:rPr>
        <w:t>The API owns two PostgreSQL pools: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Injection token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Environment variable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Container connection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Host connection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`CAMUNDA_DB`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`CAMUNDA_DATABASE_URL`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`postgresql://camunda:camunda@camunda-db:5432/camunda`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`postgresql://camunda:camunda@localhost:5432/camunda`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`ARCHIVE_DB`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`ARCHIVE_DATABASE_URL`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`postgresql://archive:archive@archive-db:5432/camunda_archive`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`postgresql://archive:archive@localhost:5433/camunda_archive`</w:t>
            </w:r>
          </w:p>
        </w:tc>
      </w:tr>
    </w:tbl>
    <w:p>
      <w:r>
        <w:rPr>
          <w:rFonts w:ascii="Calibri" w:hAnsi="Calibri"/>
          <w:sz w:val="22"/>
        </w:rPr>
        <w:t xml:space="preserve">The archive schema mirrors selected Camunda history tables with </w:t>
      </w:r>
      <w:r>
        <w:rPr>
          <w:rFonts w:ascii="Consolas" w:hAnsi="Consolas"/>
          <w:color w:val="1E1E1E"/>
          <w:sz w:val="19"/>
        </w:rPr>
        <w:t>arc_</w:t>
      </w:r>
      <w:r>
        <w:rPr>
          <w:rFonts w:ascii="Calibri" w:hAnsi="Calibri"/>
          <w:sz w:val="22"/>
        </w:rPr>
        <w:t xml:space="preserve"> prefixes. Example mappings: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Camunda history table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Archive table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`act_hi_procinst`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`arc_act_hi_procinst`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`act_hi_actinst`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`arc_act_hi_actinst`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`act_hi_taskinst`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`arc_act_hi_taskinst`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`act_hi_varinst`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`arc_act_hi_varinst`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`act_hi_detail`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`arc_act_hi_detail`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`act_hi_incident`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`arc_act_hi_incident`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`act_hi_job_log`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`arc_act_hi_job_log`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`act_ge_bytearray`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`arc_act_ge_bytearray`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`act_hi_op_log`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`arc_act_hi_op_log`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`act_hi_attachment`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`arc_act_hi_attachment`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`act_hi_comment`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`arc_act_hi_comment`</w:t>
            </w:r>
          </w:p>
        </w:tc>
      </w:tr>
    </w:tbl>
    <w:p>
      <w:pPr>
        <w:pStyle w:val="Heading1"/>
      </w:pPr>
      <w:r>
        <w:t>Runtime Rules</w:t>
      </w:r>
    </w:p>
    <w:p>
      <w:pPr>
        <w:pStyle w:val="ListBullet"/>
      </w:pPr>
      <w:r>
        <w:rPr>
          <w:rFonts w:ascii="Calibri" w:hAnsi="Calibri"/>
          <w:sz w:val="22"/>
        </w:rPr>
        <w:t>Do not archive active runtime workflows.</w:t>
      </w:r>
    </w:p>
    <w:p>
      <w:pPr>
        <w:pStyle w:val="ListBullet"/>
      </w:pPr>
      <w:r>
        <w:rPr>
          <w:rFonts w:ascii="Calibri" w:hAnsi="Calibri"/>
          <w:sz w:val="22"/>
        </w:rPr>
        <w:t xml:space="preserve">Do not write to </w:t>
      </w:r>
      <w:r>
        <w:rPr>
          <w:rFonts w:ascii="Consolas" w:hAnsi="Consolas"/>
          <w:color w:val="1E1E1E"/>
          <w:sz w:val="19"/>
        </w:rPr>
        <w:t>ACT_RU_*</w:t>
      </w:r>
      <w:r>
        <w:rPr>
          <w:rFonts w:ascii="Calibri" w:hAnsi="Calibri"/>
          <w:sz w:val="22"/>
        </w:rPr>
        <w:t xml:space="preserve"> runtime tables.</w:t>
      </w:r>
    </w:p>
    <w:p>
      <w:pPr>
        <w:pStyle w:val="ListBullet"/>
      </w:pPr>
      <w:r>
        <w:rPr>
          <w:rFonts w:ascii="Calibri" w:hAnsi="Calibri"/>
          <w:sz w:val="22"/>
        </w:rPr>
        <w:t xml:space="preserve">Preserve </w:t>
      </w:r>
      <w:r>
        <w:rPr>
          <w:rFonts w:ascii="Consolas" w:hAnsi="Consolas"/>
          <w:color w:val="1E1E1E"/>
          <w:sz w:val="19"/>
        </w:rPr>
        <w:t>SUPER_PROCESS_INSTANCE_ID_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1E1E1E"/>
          <w:sz w:val="19"/>
        </w:rPr>
        <w:t>ROOT_PROC_INST_ID_</w:t>
      </w:r>
      <w:r>
        <w:rPr>
          <w:rFonts w:ascii="Calibri" w:hAnsi="Calibri"/>
          <w:sz w:val="22"/>
        </w:rPr>
        <w:t xml:space="preserve"> in the archive.</w:t>
      </w:r>
    </w:p>
    <w:p>
      <w:pPr>
        <w:pStyle w:val="ListBullet"/>
      </w:pPr>
      <w:r>
        <w:rPr>
          <w:rFonts w:ascii="Calibri" w:hAnsi="Calibri"/>
          <w:sz w:val="22"/>
        </w:rPr>
        <w:t xml:space="preserve">Archive and re-sync parent and child history together when </w:t>
      </w:r>
      <w:r>
        <w:rPr>
          <w:rFonts w:ascii="Consolas" w:hAnsi="Consolas"/>
          <w:color w:val="1E1E1E"/>
          <w:sz w:val="19"/>
        </w:rPr>
        <w:t>includeChildren</w:t>
      </w:r>
      <w:r>
        <w:rPr>
          <w:rFonts w:ascii="Calibri" w:hAnsi="Calibri"/>
          <w:sz w:val="22"/>
        </w:rPr>
        <w:t xml:space="preserve"> is enabled.</w:t>
      </w:r>
    </w:p>
    <w:p>
      <w:pPr>
        <w:pStyle w:val="ListBullet"/>
      </w:pPr>
      <w:r>
        <w:rPr>
          <w:rFonts w:ascii="Calibri" w:hAnsi="Calibri"/>
          <w:sz w:val="22"/>
        </w:rPr>
        <w:t xml:space="preserve">Keep archived history in duplicate Camunda-like </w:t>
      </w:r>
      <w:r>
        <w:rPr>
          <w:rFonts w:ascii="Consolas" w:hAnsi="Consolas"/>
          <w:color w:val="1E1E1E"/>
          <w:sz w:val="19"/>
        </w:rPr>
        <w:t>ARC_ACT_*</w:t>
      </w:r>
      <w:r>
        <w:rPr>
          <w:rFonts w:ascii="Calibri" w:hAnsi="Calibri"/>
          <w:sz w:val="22"/>
        </w:rPr>
        <w:t xml:space="preserve"> tables to simplify upgrade and restore behavior.</w:t>
      </w:r>
    </w:p>
    <w:p>
      <w:pPr>
        <w:pStyle w:val="ListBullet"/>
      </w:pPr>
      <w:r>
        <w:rPr>
          <w:rFonts w:ascii="Calibri" w:hAnsi="Calibri"/>
          <w:sz w:val="22"/>
        </w:rPr>
        <w:t>Copy only columns that exist in the target table. This protects archive and re-sync from minor Camunda schema drift such as new history columns.</w:t>
      </w:r>
    </w:p>
    <w:p>
      <w:pPr>
        <w:pStyle w:val="Heading1"/>
      </w:pPr>
      <w:r>
        <w:t>Data Movement Rules</w:t>
      </w:r>
    </w:p>
    <w:p>
      <w:r>
        <w:rPr>
          <w:rFonts w:ascii="Calibri" w:hAnsi="Calibri"/>
          <w:sz w:val="22"/>
        </w:rPr>
        <w:t>Archive:</w:t>
      </w:r>
    </w:p>
    <w:p>
      <w:pPr>
        <w:pStyle w:val="ListNumber"/>
      </w:pPr>
      <w:r>
        <w:rPr>
          <w:rFonts w:ascii="Calibri" w:hAnsi="Calibri"/>
          <w:sz w:val="22"/>
        </w:rPr>
        <w:t>Find eligible process instance ids by state and retention window.</w:t>
      </w:r>
    </w:p>
    <w:p>
      <w:pPr>
        <w:pStyle w:val="ListNumber"/>
      </w:pPr>
      <w:r>
        <w:rPr>
          <w:rFonts w:ascii="Calibri" w:hAnsi="Calibri"/>
          <w:sz w:val="22"/>
        </w:rPr>
        <w:t xml:space="preserve">Expand selected ids with child process instances from </w:t>
      </w:r>
      <w:r>
        <w:rPr>
          <w:rFonts w:ascii="Consolas" w:hAnsi="Consolas"/>
          <w:color w:val="1E1E1E"/>
          <w:sz w:val="19"/>
        </w:rPr>
        <w:t>SUPER_PROCESS_INSTANCE_ID_</w:t>
      </w:r>
      <w:r>
        <w:rPr>
          <w:rFonts w:ascii="Calibri" w:hAnsi="Calibri"/>
          <w:sz w:val="22"/>
        </w:rPr>
        <w:t>.</w:t>
      </w:r>
    </w:p>
    <w:p>
      <w:pPr>
        <w:pStyle w:val="ListNumber"/>
      </w:pPr>
      <w:r>
        <w:rPr>
          <w:rFonts w:ascii="Calibri" w:hAnsi="Calibri"/>
          <w:sz w:val="22"/>
        </w:rPr>
        <w:t>Copy related rows from Camunda history tables into archive tables.</w:t>
      </w:r>
    </w:p>
    <w:p>
      <w:pPr>
        <w:pStyle w:val="ListNumber"/>
      </w:pPr>
      <w:r>
        <w:rPr>
          <w:rFonts w:ascii="Calibri" w:hAnsi="Calibri"/>
          <w:sz w:val="22"/>
        </w:rPr>
        <w:t>Delete copied rows from Camunda history tables.</w:t>
      </w:r>
    </w:p>
    <w:p>
      <w:pPr>
        <w:pStyle w:val="ListNumber"/>
      </w:pPr>
      <w:r>
        <w:rPr>
          <w:rFonts w:ascii="Calibri" w:hAnsi="Calibri"/>
          <w:sz w:val="22"/>
        </w:rPr>
        <w:t xml:space="preserve">Record the archive run in </w:t>
      </w:r>
      <w:r>
        <w:rPr>
          <w:rFonts w:ascii="Consolas" w:hAnsi="Consolas"/>
          <w:color w:val="1E1E1E"/>
          <w:sz w:val="19"/>
        </w:rPr>
        <w:t>arc_archive_run</w:t>
      </w:r>
      <w:r>
        <w:rPr>
          <w:rFonts w:ascii="Calibri" w:hAnsi="Calibri"/>
          <w:sz w:val="22"/>
        </w:rPr>
        <w:t>.</w:t>
      </w:r>
    </w:p>
    <w:p>
      <w:r>
        <w:rPr>
          <w:rFonts w:ascii="Calibri" w:hAnsi="Calibri"/>
          <w:sz w:val="22"/>
        </w:rPr>
        <w:t>Re-sync:</w:t>
      </w:r>
    </w:p>
    <w:p>
      <w:pPr>
        <w:pStyle w:val="ListNumber"/>
      </w:pPr>
      <w:r>
        <w:rPr>
          <w:rFonts w:ascii="Calibri" w:hAnsi="Calibri"/>
          <w:sz w:val="22"/>
        </w:rPr>
        <w:t>Load archived process ids and optional children.</w:t>
      </w:r>
    </w:p>
    <w:p>
      <w:pPr>
        <w:pStyle w:val="ListNumber"/>
      </w:pPr>
      <w:r>
        <w:rPr>
          <w:rFonts w:ascii="Calibri" w:hAnsi="Calibri"/>
          <w:sz w:val="22"/>
        </w:rPr>
        <w:t>Copy related rows from archive tables into original Camunda history tables.</w:t>
      </w:r>
    </w:p>
    <w:p>
      <w:pPr>
        <w:pStyle w:val="ListNumber"/>
      </w:pPr>
      <w:r>
        <w:rPr>
          <w:rFonts w:ascii="Calibri" w:hAnsi="Calibri"/>
          <w:sz w:val="22"/>
        </w:rPr>
        <w:t>Delete copied rows from archive tables.</w:t>
      </w:r>
    </w:p>
    <w:p>
      <w:pPr>
        <w:pStyle w:val="ListNumber"/>
      </w:pPr>
      <w:r>
        <w:rPr>
          <w:rFonts w:ascii="Calibri" w:hAnsi="Calibri"/>
          <w:sz w:val="22"/>
        </w:rPr>
        <w:t xml:space="preserve">Record the operation in </w:t>
      </w:r>
      <w:r>
        <w:rPr>
          <w:rFonts w:ascii="Consolas" w:hAnsi="Consolas"/>
          <w:color w:val="1E1E1E"/>
          <w:sz w:val="19"/>
        </w:rPr>
        <w:t>arc_restore_log</w:t>
      </w:r>
      <w:r>
        <w:rPr>
          <w:rFonts w:ascii="Calibri" w:hAnsi="Calibri"/>
          <w:sz w:val="22"/>
        </w:rPr>
        <w:t>.</w:t>
      </w:r>
    </w:p>
    <w:p>
      <w:pPr>
        <w:pStyle w:val="Heading1"/>
      </w:pPr>
      <w:r>
        <w:t>Archive Approaches</w:t>
      </w:r>
    </w:p>
    <w:p>
      <w:r>
        <w:rPr>
          <w:rFonts w:ascii="Calibri" w:hAnsi="Calibri"/>
          <w:sz w:val="22"/>
        </w:rPr>
        <w:t>The current implementation supports operator-selected archive and scheduler-driven automatic archive.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Approach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Current behavior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Manual archive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Operators select completed or failed workflows from the UI/API. The API copies related history into archive tables, validates the archive state, deletes copied rows from Camunda history, and records the archive run.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Automatic archive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`node-cron` jobs archive eligible completed, failed, and old suspended workflows using configurable retention windows and batch size. Operator-created scheduler jobs also process selected item counts with progress, retry, and item-level status tracking.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Camunda History Cleanup managed delete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Documented as an optional integration path. The scheduler currently contains a cleanup placeholder; direct delete-after-copy is the active implemented deletion path.</w:t>
            </w:r>
          </w:p>
        </w:tc>
      </w:tr>
    </w:tbl>
    <w:p>
      <w:pPr>
        <w:pStyle w:val="Heading1"/>
      </w:pPr>
      <w:r>
        <w:t>Reference Diagrams</w:t>
      </w:r>
    </w:p>
    <w:p>
      <w:r>
        <w:rPr>
          <w:rFonts w:ascii="Calibri" w:hAnsi="Calibri"/>
          <w:sz w:val="22"/>
        </w:rPr>
        <w:t>The white paper contains the canonical diagrams for high-level architecture, archive lifecycle, restore lifecycle, Camunda History Cleanup, data flow, ERD, and sequence diagrams.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A636F"/>
        <w:sz w:val="18"/>
      </w:rPr>
      <w:t>HLD Documentation 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/>
        <w:b/>
        <w:color w:val="5A636F"/>
        <w:sz w:val="18"/>
      </w:rPr>
      <w:t>Camunda Data Archiving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WHITE_PAPER.md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Camunda Archive HLD - Architecture</dc:title>
  <dc:subject>Camunda archive high-level design documentation</dc:subject>
  <dc:creator>python-docx</dc:creator>
  <cp:keywords>Camunda, archive, restore, history cleanup, HLD, white paper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