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HLD - Operations Guide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r>
        <w:rPr>
          <w:rFonts w:ascii="Calibri" w:hAnsi="Calibri"/>
          <w:sz w:val="22"/>
        </w:rPr>
        <w:t xml:space="preserve">For the full architecture and lifecycle analysis, see </w:t>
      </w:r>
      <w:hyperlink r:id="rId11">
        <w:r>
          <w:rPr>
            <w:color w:val="0563C1"/>
            <w:u w:val="single"/>
          </w:rPr>
          <w:t>Camunda Data Archiving Project White Paper</w:t>
        </w:r>
      </w:hyperlink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Scheduled Jobs</w:t>
      </w:r>
    </w:p>
    <w:p>
      <w:r>
        <w:rPr>
          <w:rFonts w:ascii="Calibri" w:hAnsi="Calibri"/>
          <w:sz w:val="22"/>
        </w:rPr>
        <w:t xml:space="preserve">The API uses </w:t>
      </w:r>
      <w:r>
        <w:rPr>
          <w:rFonts w:ascii="Consolas" w:hAnsi="Consolas"/>
          <w:color w:val="1E1E1E"/>
          <w:sz w:val="19"/>
        </w:rPr>
        <w:t>node-cron</w:t>
      </w:r>
      <w:r>
        <w:rPr>
          <w:rFonts w:ascii="Calibri" w:hAnsi="Calibri"/>
          <w:sz w:val="22"/>
        </w:rPr>
        <w:t xml:space="preserve"> jobs:</w:t>
      </w:r>
    </w:p>
    <w:p>
      <w:pPr>
        <w:pStyle w:val="ListBullet"/>
      </w:pPr>
      <w:r>
        <w:rPr>
          <w:rFonts w:ascii="Calibri" w:hAnsi="Calibri"/>
          <w:sz w:val="22"/>
        </w:rPr>
        <w:t>every 15 minutes: archive completed workflows</w:t>
      </w:r>
    </w:p>
    <w:p>
      <w:pPr>
        <w:pStyle w:val="ListBullet"/>
      </w:pPr>
      <w:r>
        <w:rPr>
          <w:rFonts w:ascii="Calibri" w:hAnsi="Calibri"/>
          <w:sz w:val="22"/>
        </w:rPr>
        <w:t>every 30 minutes: archive failed workflows</w:t>
      </w:r>
    </w:p>
    <w:p>
      <w:pPr>
        <w:pStyle w:val="ListBullet"/>
      </w:pPr>
      <w:r>
        <w:rPr>
          <w:rFonts w:ascii="Calibri" w:hAnsi="Calibri"/>
          <w:sz w:val="22"/>
        </w:rPr>
        <w:t>every 6 hours: archive old suspended workflows</w:t>
      </w:r>
    </w:p>
    <w:p>
      <w:pPr>
        <w:pStyle w:val="ListBullet"/>
      </w:pPr>
      <w:r>
        <w:rPr>
          <w:rFonts w:ascii="Calibri" w:hAnsi="Calibri"/>
          <w:sz w:val="22"/>
        </w:rPr>
        <w:t>every 6 hours: verify archive consistency</w:t>
      </w:r>
    </w:p>
    <w:p>
      <w:pPr>
        <w:pStyle w:val="ListBullet"/>
      </w:pPr>
      <w:r>
        <w:rPr>
          <w:rFonts w:ascii="Calibri" w:hAnsi="Calibri"/>
          <w:sz w:val="22"/>
        </w:rPr>
        <w:t>daily at 02:30: Camunda history cleanup placeholder</w:t>
      </w:r>
    </w:p>
    <w:p>
      <w:r>
        <w:rPr>
          <w:rFonts w:ascii="Calibri" w:hAnsi="Calibri"/>
          <w:sz w:val="22"/>
        </w:rPr>
        <w:t>The cleanup job should remain a placeholder unless your estate needs extra retention enforcement. Archive already removes moved history rows from Camunda history tables after the archive copy succeeds.</w:t>
      </w:r>
    </w:p>
    <w:p>
      <w:pPr>
        <w:pStyle w:val="Heading1"/>
      </w:pPr>
      <w:r>
        <w:t>Local Service Access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URL or 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Web UI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`http://localhost:4200`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Login with `admin/admin`, `operator/operator`, `auditor/auditor`, or `viewer/viewer`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API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`http://localhost:3000/api`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REST base path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Swagger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`http://localhost:3000/api/docs`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OpenAPI testing surface with request and response examples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Swagger JSON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`http://localhost:3000/api/docs-json`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Raw generated OpenAPI document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Camunda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`http://localhost:8080`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Login with `demo/demo`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Adminer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`http://localhost:8081`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PostgreSQL database UI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Prometheus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`http://localhost:9090`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Metrics query UI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Grafana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`http://localhost:3001`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Dashboard shell</w:t>
            </w:r>
          </w:p>
        </w:tc>
      </w:tr>
    </w:tbl>
    <w:p>
      <w:pPr>
        <w:pStyle w:val="Heading1"/>
      </w:pPr>
      <w:r>
        <w:t>PostgreSQL Connections</w:t>
      </w:r>
    </w:p>
    <w:p>
      <w:r>
        <w:rPr>
          <w:rFonts w:ascii="Calibri" w:hAnsi="Calibri"/>
          <w:sz w:val="22"/>
        </w:rPr>
        <w:t>Inside Docker, use service hostnames: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Database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URL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Camunda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`postgresql://camunda:camunda@camunda-db:5432/camunda`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`postgresql://archive:archive@archive-db:5432/camunda_archive`</w:t>
            </w:r>
          </w:p>
        </w:tc>
      </w:tr>
    </w:tbl>
    <w:p>
      <w:r>
        <w:rPr>
          <w:rFonts w:ascii="Calibri" w:hAnsi="Calibri"/>
          <w:sz w:val="22"/>
        </w:rPr>
        <w:t>From the Windows host, use mapped ports: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Database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URL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Camunda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`postgresql://camunda:camunda@localhost:5432/camunda`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`postgresql://archive:archive@localhost:5433/camunda_archive`</w:t>
            </w:r>
          </w:p>
        </w:tc>
      </w:tr>
    </w:tbl>
    <w:p>
      <w:r>
        <w:rPr>
          <w:rFonts w:ascii="Calibri" w:hAnsi="Calibri"/>
          <w:sz w:val="22"/>
        </w:rPr>
        <w:t>Adminer settings:</w:t>
      </w:r>
    </w:p>
    <w:p>
      <w:pPr>
        <w:pStyle w:val="ListBullet"/>
      </w:pPr>
      <w:r>
        <w:rPr>
          <w:rFonts w:ascii="Calibri" w:hAnsi="Calibri"/>
          <w:sz w:val="22"/>
        </w:rPr>
        <w:t xml:space="preserve">System: </w:t>
      </w:r>
      <w:r>
        <w:rPr>
          <w:rFonts w:ascii="Consolas" w:hAnsi="Consolas"/>
          <w:color w:val="1E1E1E"/>
          <w:sz w:val="19"/>
        </w:rPr>
        <w:t>PostgreSQL</w:t>
      </w:r>
    </w:p>
    <w:p>
      <w:pPr>
        <w:pStyle w:val="ListBullet"/>
      </w:pPr>
      <w:r>
        <w:rPr>
          <w:rFonts w:ascii="Calibri" w:hAnsi="Calibri"/>
          <w:sz w:val="22"/>
        </w:rPr>
        <w:t xml:space="preserve">Server: </w:t>
      </w:r>
      <w:r>
        <w:rPr>
          <w:rFonts w:ascii="Consolas" w:hAnsi="Consolas"/>
          <w:color w:val="1E1E1E"/>
          <w:sz w:val="19"/>
        </w:rPr>
        <w:t>camunda-db</w:t>
      </w:r>
      <w:r>
        <w:rPr>
          <w:rFonts w:ascii="Calibri" w:hAnsi="Calibri"/>
          <w:sz w:val="22"/>
        </w:rPr>
        <w:t xml:space="preserve"> for Camunda or </w:t>
      </w:r>
      <w:r>
        <w:rPr>
          <w:rFonts w:ascii="Consolas" w:hAnsi="Consolas"/>
          <w:color w:val="1E1E1E"/>
          <w:sz w:val="19"/>
        </w:rPr>
        <w:t>archive-db</w:t>
      </w:r>
      <w:r>
        <w:rPr>
          <w:rFonts w:ascii="Calibri" w:hAnsi="Calibri"/>
          <w:sz w:val="22"/>
        </w:rPr>
        <w:t xml:space="preserve"> for archive</w:t>
      </w:r>
    </w:p>
    <w:p>
      <w:pPr>
        <w:pStyle w:val="ListBullet"/>
      </w:pPr>
      <w:r>
        <w:rPr>
          <w:rFonts w:ascii="Calibri" w:hAnsi="Calibri"/>
          <w:sz w:val="22"/>
        </w:rPr>
        <w:t xml:space="preserve">Username/password/database: </w:t>
      </w:r>
      <w:r>
        <w:rPr>
          <w:rFonts w:ascii="Consolas" w:hAnsi="Consolas"/>
          <w:color w:val="1E1E1E"/>
          <w:sz w:val="19"/>
        </w:rPr>
        <w:t>camunda/camunda/camunda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1E1E1E"/>
          <w:sz w:val="19"/>
        </w:rPr>
        <w:t>archive/archive/camunda_archive</w:t>
      </w:r>
    </w:p>
    <w:p>
      <w:r>
        <w:rPr>
          <w:rFonts w:ascii="Calibri" w:hAnsi="Calibri"/>
          <w:sz w:val="22"/>
        </w:rPr>
        <w:t>Useful checks: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bash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docker compose ps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docker compose logs api --tail 100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docker compose exec -T camunda-db psql -U camunda -d camunda -c "select count(*) from act_hi_procinst"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docker compose exec -T archive-db psql -U archive -d camunda_archive -c "select count(*) from arc_act_hi_procinst"</w:t>
            </w:r>
          </w:p>
        </w:tc>
      </w:tr>
    </w:tbl>
    <w:p>
      <w:pPr>
        <w:pStyle w:val="Heading1"/>
      </w:pPr>
      <w:r>
        <w:t>Web UI Operations</w:t>
      </w:r>
    </w:p>
    <w:p>
      <w:pPr>
        <w:pStyle w:val="ListBullet"/>
      </w:pPr>
      <w:r>
        <w:rPr>
          <w:rFonts w:ascii="Calibri" w:hAnsi="Calibri"/>
          <w:sz w:val="22"/>
        </w:rPr>
        <w:t>Dashboard: read counts and trends across running, completed, failed, and archived workflows.</w:t>
      </w:r>
    </w:p>
    <w:p>
      <w:pPr>
        <w:pStyle w:val="ListBullet"/>
      </w:pPr>
      <w:r>
        <w:rPr>
          <w:rFonts w:ascii="Calibri" w:hAnsi="Calibri"/>
          <w:sz w:val="22"/>
        </w:rPr>
        <w:t>Running Workflows: monitor active instances only. Archive and re-sync buttons are intentionally hidden.</w:t>
      </w:r>
    </w:p>
    <w:p>
      <w:pPr>
        <w:pStyle w:val="ListBullet"/>
      </w:pPr>
      <w:r>
        <w:rPr>
          <w:rFonts w:ascii="Calibri" w:hAnsi="Calibri"/>
          <w:sz w:val="22"/>
        </w:rPr>
        <w:t>Completed Workflows: select unarchived completed instances and archive them.</w:t>
      </w:r>
    </w:p>
    <w:p>
      <w:pPr>
        <w:pStyle w:val="ListBullet"/>
      </w:pPr>
      <w:r>
        <w:rPr>
          <w:rFonts w:ascii="Calibri" w:hAnsi="Calibri"/>
          <w:sz w:val="22"/>
        </w:rPr>
        <w:t>Failed Workflows: select unarchived failed/deleted instances and archive them.</w:t>
      </w:r>
    </w:p>
    <w:p>
      <w:pPr>
        <w:pStyle w:val="ListBullet"/>
      </w:pPr>
      <w:r>
        <w:rPr>
          <w:rFonts w:ascii="Calibri" w:hAnsi="Calibri"/>
          <w:sz w:val="22"/>
        </w:rPr>
        <w:t xml:space="preserve">Archived Workflows: search archived rows and use </w:t>
      </w:r>
      <w:r>
        <w:rPr>
          <w:rFonts w:ascii="Consolas" w:hAnsi="Consolas"/>
          <w:color w:val="1E1E1E"/>
          <w:sz w:val="19"/>
        </w:rPr>
        <w:t>Re-sync</w:t>
      </w:r>
      <w:r>
        <w:rPr>
          <w:rFonts w:ascii="Calibri" w:hAnsi="Calibri"/>
          <w:sz w:val="22"/>
        </w:rPr>
        <w:t xml:space="preserve"> to move history back to Camunda.</w:t>
      </w:r>
    </w:p>
    <w:p>
      <w:pPr>
        <w:pStyle w:val="ListBullet"/>
      </w:pPr>
      <w:r>
        <w:rPr>
          <w:rFonts w:ascii="Calibri" w:hAnsi="Calibri"/>
          <w:sz w:val="22"/>
        </w:rPr>
        <w:t>Running, Completed, Failed, and Archived workflow lists show 10 records per page with Previous and Next controls.</w:t>
      </w:r>
    </w:p>
    <w:p>
      <w:pPr>
        <w:pStyle w:val="ListBullet"/>
      </w:pPr>
      <w:r>
        <w:rPr>
          <w:rFonts w:ascii="Calibri" w:hAnsi="Calibri"/>
          <w:sz w:val="22"/>
        </w:rPr>
        <w:t>Restore Workflow: re-sync a known archived process id with a reason and optional child inclusion.</w:t>
      </w:r>
    </w:p>
    <w:p>
      <w:pPr>
        <w:pStyle w:val="ListBullet"/>
      </w:pPr>
      <w:r>
        <w:rPr>
          <w:rFonts w:ascii="Calibri" w:hAnsi="Calibri"/>
          <w:sz w:val="22"/>
        </w:rPr>
        <w:t>Incident Monitoring: inspect Camunda incidents.</w:t>
      </w:r>
    </w:p>
    <w:p>
      <w:pPr>
        <w:pStyle w:val="ListBullet"/>
      </w:pPr>
      <w:r>
        <w:rPr>
          <w:rFonts w:ascii="Calibri" w:hAnsi="Calibri"/>
          <w:sz w:val="22"/>
        </w:rPr>
        <w:t>Cleanup Monitoring: review scheduler/archive run activity.</w:t>
      </w:r>
    </w:p>
    <w:p>
      <w:pPr>
        <w:pStyle w:val="Heading1"/>
      </w:pPr>
      <w:r>
        <w:t>Camunda UI Operations</w:t>
      </w:r>
    </w:p>
    <w:p>
      <w:pPr>
        <w:pStyle w:val="ListBullet"/>
      </w:pPr>
      <w:r>
        <w:rPr>
          <w:rFonts w:ascii="Calibri" w:hAnsi="Calibri"/>
          <w:sz w:val="22"/>
        </w:rPr>
        <w:t xml:space="preserve">Use Camunda Cockpit/Tasklist/Admin at </w:t>
      </w:r>
      <w:r>
        <w:rPr>
          <w:rFonts w:ascii="Consolas" w:hAnsi="Consolas"/>
          <w:color w:val="1E1E1E"/>
          <w:sz w:val="19"/>
        </w:rPr>
        <w:t>http://localhost:8080</w:t>
      </w:r>
      <w:r>
        <w:rPr>
          <w:rFonts w:ascii="Calibri" w:hAnsi="Calibri"/>
          <w:sz w:val="22"/>
        </w:rPr>
        <w:t xml:space="preserve"> with </w:t>
      </w:r>
      <w:r>
        <w:rPr>
          <w:rFonts w:ascii="Consolas" w:hAnsi="Consolas"/>
          <w:color w:val="1E1E1E"/>
          <w:sz w:val="19"/>
        </w:rPr>
        <w:t>demo/demo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After archive, moved completed/failed history no longer appears in Camunda history queries because rows were removed from Camunda history tables.</w:t>
      </w:r>
    </w:p>
    <w:p>
      <w:pPr>
        <w:pStyle w:val="ListBullet"/>
      </w:pPr>
      <w:r>
        <w:rPr>
          <w:rFonts w:ascii="Calibri" w:hAnsi="Calibri"/>
          <w:sz w:val="22"/>
        </w:rPr>
        <w:t>After re-sync, restored history appears again with the original process instance id.</w:t>
      </w:r>
    </w:p>
    <w:p>
      <w:pPr>
        <w:pStyle w:val="ListBullet"/>
      </w:pPr>
      <w:r>
        <w:rPr>
          <w:rFonts w:ascii="Calibri" w:hAnsi="Calibri"/>
          <w:sz w:val="22"/>
        </w:rPr>
        <w:t>Active runtime instances are not archived and runtime tables are not modified.</w:t>
      </w:r>
    </w:p>
    <w:p>
      <w:pPr>
        <w:pStyle w:val="Heading1"/>
      </w:pPr>
      <w:r>
        <w:t>Archive And Re-sync Runbook</w:t>
      </w:r>
    </w:p>
    <w:p>
      <w:r>
        <w:rPr>
          <w:rFonts w:ascii="Calibri" w:hAnsi="Calibri"/>
          <w:sz w:val="22"/>
        </w:rPr>
        <w:t>Archive selected completed/failed workflows:</w:t>
      </w:r>
    </w:p>
    <w:p>
      <w:pPr>
        <w:pStyle w:val="ListNumber"/>
      </w:pPr>
      <w:r>
        <w:rPr>
          <w:rFonts w:ascii="Calibri" w:hAnsi="Calibri"/>
          <w:sz w:val="22"/>
        </w:rPr>
        <w:t>Open the Web UI.</w:t>
      </w:r>
    </w:p>
    <w:p>
      <w:pPr>
        <w:pStyle w:val="ListNumber"/>
      </w:pPr>
      <w:r>
        <w:rPr>
          <w:rFonts w:ascii="Calibri" w:hAnsi="Calibri"/>
          <w:sz w:val="22"/>
        </w:rPr>
        <w:t>Go to Completed Workflows or Failed Workflows.</w:t>
      </w:r>
    </w:p>
    <w:p>
      <w:pPr>
        <w:pStyle w:val="ListNumber"/>
      </w:pPr>
      <w:r>
        <w:rPr>
          <w:rFonts w:ascii="Calibri" w:hAnsi="Calibri"/>
          <w:sz w:val="22"/>
        </w:rPr>
        <w:t>Select unarchived rows.</w:t>
      </w:r>
    </w:p>
    <w:p>
      <w:pPr>
        <w:pStyle w:val="ListNumber"/>
      </w:pPr>
      <w:r>
        <w:rPr>
          <w:rFonts w:ascii="Calibri" w:hAnsi="Calibri"/>
          <w:sz w:val="22"/>
        </w:rPr>
        <w:t xml:space="preserve">Click </w:t>
      </w:r>
      <w:r>
        <w:rPr>
          <w:rFonts w:ascii="Consolas" w:hAnsi="Consolas"/>
          <w:color w:val="1E1E1E"/>
          <w:sz w:val="19"/>
        </w:rPr>
        <w:t>Archive selected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Confirm rows appear in Archived Workflows and disappear from the original history list.</w:t>
      </w:r>
    </w:p>
    <w:p>
      <w:r>
        <w:rPr>
          <w:rFonts w:ascii="Calibri" w:hAnsi="Calibri"/>
          <w:sz w:val="22"/>
        </w:rPr>
        <w:t>Re-sync archived workflows:</w:t>
      </w:r>
    </w:p>
    <w:p>
      <w:pPr>
        <w:pStyle w:val="ListNumber"/>
      </w:pPr>
      <w:r>
        <w:rPr>
          <w:rFonts w:ascii="Calibri" w:hAnsi="Calibri"/>
          <w:sz w:val="22"/>
        </w:rPr>
        <w:t>Open Archived Workflows.</w:t>
      </w:r>
    </w:p>
    <w:p>
      <w:pPr>
        <w:pStyle w:val="ListNumber"/>
      </w:pPr>
      <w:r>
        <w:rPr>
          <w:rFonts w:ascii="Calibri" w:hAnsi="Calibri"/>
          <w:sz w:val="22"/>
        </w:rPr>
        <w:t>Search for the process instance id, business key, or definition.</w:t>
      </w:r>
    </w:p>
    <w:p>
      <w:pPr>
        <w:pStyle w:val="ListNumber"/>
      </w:pPr>
      <w:r>
        <w:rPr>
          <w:rFonts w:ascii="Calibri" w:hAnsi="Calibri"/>
          <w:sz w:val="22"/>
        </w:rPr>
        <w:t xml:space="preserve">Click </w:t>
      </w:r>
      <w:r>
        <w:rPr>
          <w:rFonts w:ascii="Consolas" w:hAnsi="Consolas"/>
          <w:color w:val="1E1E1E"/>
          <w:sz w:val="19"/>
        </w:rPr>
        <w:t>Re-sync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Confirm the row disappears from Archived Workflows and appears again in Completed or Failed Workflows.</w:t>
      </w:r>
    </w:p>
    <w:p>
      <w:r>
        <w:rPr>
          <w:rFonts w:ascii="Calibri" w:hAnsi="Calibri"/>
          <w:sz w:val="22"/>
        </w:rPr>
        <w:t>API equivalent: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bash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POST /api/archive/run/selected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POST /api/restore/workflow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POST /api/restore/workflows</w:t>
            </w:r>
          </w:p>
        </w:tc>
      </w:tr>
    </w:tbl>
    <w:p>
      <w:r>
        <w:rPr>
          <w:rFonts w:ascii="Calibri" w:hAnsi="Calibri"/>
          <w:sz w:val="22"/>
        </w:rPr>
        <w:t xml:space="preserve">Use Swagger at </w:t>
      </w:r>
      <w:r>
        <w:rPr>
          <w:rFonts w:ascii="Consolas" w:hAnsi="Consolas"/>
          <w:color w:val="1E1E1E"/>
          <w:sz w:val="19"/>
        </w:rPr>
        <w:t>http://localhost:3000/api/docs</w:t>
      </w:r>
      <w:r>
        <w:rPr>
          <w:rFonts w:ascii="Calibri" w:hAnsi="Calibri"/>
          <w:sz w:val="22"/>
        </w:rPr>
        <w:t xml:space="preserve"> for manual testing. Authorize with the JWT returned by </w:t>
      </w:r>
      <w:r>
        <w:rPr>
          <w:rFonts w:ascii="Consolas" w:hAnsi="Consolas"/>
          <w:color w:val="1E1E1E"/>
          <w:sz w:val="19"/>
        </w:rPr>
        <w:t>POST /api/auth/login</w:t>
      </w:r>
      <w:r>
        <w:rPr>
          <w:rFonts w:ascii="Calibri" w:hAnsi="Calibri"/>
          <w:sz w:val="22"/>
        </w:rPr>
        <w:t>, then use the documented archive and re-sync examples.</w:t>
      </w:r>
    </w:p>
    <w:p>
      <w:pPr>
        <w:pStyle w:val="Heading1"/>
      </w:pPr>
      <w:r>
        <w:t>Performance Guidance</w:t>
      </w:r>
    </w:p>
    <w:p>
      <w:pPr>
        <w:pStyle w:val="ListBullet"/>
      </w:pPr>
      <w:r>
        <w:rPr>
          <w:rFonts w:ascii="Calibri" w:hAnsi="Calibri"/>
          <w:sz w:val="22"/>
        </w:rPr>
        <w:t xml:space="preserve">Use </w:t>
      </w:r>
      <w:r>
        <w:rPr>
          <w:rFonts w:ascii="Consolas" w:hAnsi="Consolas"/>
          <w:color w:val="1E1E1E"/>
          <w:sz w:val="19"/>
        </w:rPr>
        <w:t>ARCHIVE_BATCH_SIZE</w:t>
      </w:r>
      <w:r>
        <w:rPr>
          <w:rFonts w:ascii="Calibri" w:hAnsi="Calibri"/>
          <w:sz w:val="22"/>
        </w:rPr>
        <w:t xml:space="preserve"> to control per-run throughput.</w:t>
      </w:r>
    </w:p>
    <w:p>
      <w:pPr>
        <w:pStyle w:val="ListBullet"/>
      </w:pPr>
      <w:r>
        <w:rPr>
          <w:rFonts w:ascii="Calibri" w:hAnsi="Calibri"/>
          <w:sz w:val="22"/>
        </w:rPr>
        <w:t>Keep archive tables partitioned by process start time for long retention windows.</w:t>
      </w:r>
    </w:p>
    <w:p>
      <w:pPr>
        <w:pStyle w:val="ListBullet"/>
      </w:pPr>
      <w:r>
        <w:rPr>
          <w:rFonts w:ascii="Calibri" w:hAnsi="Calibri"/>
          <w:sz w:val="22"/>
        </w:rPr>
        <w:t>Use the provided process, definition, business key, root, parent, incident, and time indexes for search and restore.</w:t>
      </w:r>
    </w:p>
    <w:p>
      <w:pPr>
        <w:pStyle w:val="ListBullet"/>
      </w:pPr>
      <w:r>
        <w:rPr>
          <w:rFonts w:ascii="Calibri" w:hAnsi="Calibri"/>
          <w:sz w:val="22"/>
        </w:rPr>
        <w:t>Use read replicas or reporting replicas for heavy dashboard/BI workloads.</w:t>
      </w:r>
    </w:p>
    <w:p>
      <w:pPr>
        <w:pStyle w:val="ListBullet"/>
      </w:pPr>
      <w:r>
        <w:rPr>
          <w:rFonts w:ascii="Calibri" w:hAnsi="Calibri"/>
          <w:sz w:val="22"/>
        </w:rPr>
        <w:t>Use PostgreSQL native partition maintenance for monthly or quarterly partitions.</w:t>
      </w:r>
    </w:p>
    <w:p>
      <w:pPr>
        <w:pStyle w:val="ListBullet"/>
      </w:pPr>
      <w:r>
        <w:rPr>
          <w:rFonts w:ascii="Calibri" w:hAnsi="Calibri"/>
          <w:sz w:val="22"/>
        </w:rPr>
        <w:t>Monitor delete and insert volume on Camunda history tables during large archive or re-sync runs.</w:t>
      </w:r>
    </w:p>
    <w:p>
      <w:pPr>
        <w:pStyle w:val="ListBullet"/>
      </w:pPr>
      <w:r>
        <w:rPr>
          <w:rFonts w:ascii="Calibri" w:hAnsi="Calibri"/>
          <w:sz w:val="22"/>
        </w:rPr>
        <w:t>Run high-volume re-sync during maintenance windows if other tools are querying Camunda history heavily.</w:t>
      </w:r>
    </w:p>
    <w:p>
      <w:pPr>
        <w:pStyle w:val="Heading1"/>
      </w:pPr>
      <w:r>
        <w:t>Security Guidance</w:t>
      </w:r>
    </w:p>
    <w:p>
      <w:pPr>
        <w:pStyle w:val="ListBullet"/>
      </w:pPr>
      <w:r>
        <w:rPr>
          <w:rFonts w:ascii="Calibri" w:hAnsi="Calibri"/>
          <w:sz w:val="22"/>
        </w:rPr>
        <w:t>Replace local demo users with SSO/OIDC or an enterprise user store.</w:t>
      </w:r>
    </w:p>
    <w:p>
      <w:pPr>
        <w:pStyle w:val="ListBullet"/>
      </w:pPr>
      <w:r>
        <w:rPr>
          <w:rFonts w:ascii="Calibri" w:hAnsi="Calibri"/>
          <w:sz w:val="22"/>
        </w:rPr>
        <w:t xml:space="preserve">Rotate </w:t>
      </w:r>
      <w:r>
        <w:rPr>
          <w:rFonts w:ascii="Consolas" w:hAnsi="Consolas"/>
          <w:color w:val="1E1E1E"/>
          <w:sz w:val="19"/>
        </w:rPr>
        <w:t>JWT_SECRET</w:t>
      </w:r>
      <w:r>
        <w:rPr>
          <w:rFonts w:ascii="Calibri" w:hAnsi="Calibri"/>
          <w:sz w:val="22"/>
        </w:rPr>
        <w:t xml:space="preserve"> and keep it in a secret manager.</w:t>
      </w:r>
    </w:p>
    <w:p>
      <w:pPr>
        <w:pStyle w:val="ListBullet"/>
      </w:pPr>
      <w:r>
        <w:rPr>
          <w:rFonts w:ascii="Calibri" w:hAnsi="Calibri"/>
          <w:sz w:val="22"/>
        </w:rPr>
        <w:t xml:space="preserve">Restrict restore endpoints to </w:t>
      </w:r>
      <w:r>
        <w:rPr>
          <w:rFonts w:ascii="Consolas" w:hAnsi="Consolas"/>
          <w:color w:val="1E1E1E"/>
          <w:sz w:val="19"/>
        </w:rPr>
        <w:t>Operator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Admin</w:t>
      </w:r>
      <w:r>
        <w:rPr>
          <w:rFonts w:ascii="Calibri" w:hAnsi="Calibri"/>
          <w:sz w:val="22"/>
        </w:rPr>
        <w:t xml:space="preserve"> roles.</w:t>
      </w:r>
    </w:p>
    <w:p>
      <w:pPr>
        <w:pStyle w:val="ListBullet"/>
      </w:pPr>
      <w:r>
        <w:rPr>
          <w:rFonts w:ascii="Calibri" w:hAnsi="Calibri"/>
          <w:sz w:val="22"/>
        </w:rPr>
        <w:t xml:space="preserve">Enable audit retention for </w:t>
      </w:r>
      <w:r>
        <w:rPr>
          <w:rFonts w:ascii="Consolas" w:hAnsi="Consolas"/>
          <w:color w:val="1E1E1E"/>
          <w:sz w:val="19"/>
        </w:rPr>
        <w:t>arc_audit_log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arc_restore_log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Put the API behind TLS and a WAF or API gateway in production.</w:t>
      </w:r>
    </w:p>
    <w:p>
      <w:pPr>
        <w:pStyle w:val="ListBullet"/>
      </w:pPr>
      <w:r>
        <w:rPr>
          <w:rFonts w:ascii="Calibri" w:hAnsi="Calibri"/>
          <w:sz w:val="22"/>
        </w:rPr>
        <w:t>Restrict direct PostgreSQL access to trusted operators only. Archive and re-sync are database moves and should be audited.</w:t>
      </w:r>
    </w:p>
    <w:p>
      <w:pPr>
        <w:pStyle w:val="Heading1"/>
      </w:pPr>
      <w:r>
        <w:t>Production Checklist</w:t>
      </w:r>
    </w:p>
    <w:p>
      <w:pPr>
        <w:pStyle w:val="ListBullet"/>
      </w:pPr>
      <w:r>
        <w:rPr>
          <w:rFonts w:ascii="Calibri" w:hAnsi="Calibri"/>
          <w:sz w:val="22"/>
        </w:rPr>
        <w:t>Apply schema migrations with a migration tool such as Flyway, Liquibase, or Sqitch.</w:t>
      </w:r>
    </w:p>
    <w:p>
      <w:pPr>
        <w:pStyle w:val="ListBullet"/>
      </w:pPr>
      <w:r>
        <w:rPr>
          <w:rFonts w:ascii="Calibri" w:hAnsi="Calibri"/>
          <w:sz w:val="22"/>
        </w:rPr>
        <w:t xml:space="preserve">Add monthly partitions for </w:t>
      </w:r>
      <w:r>
        <w:rPr>
          <w:rFonts w:ascii="Consolas" w:hAnsi="Consolas"/>
          <w:color w:val="1E1E1E"/>
          <w:sz w:val="19"/>
        </w:rPr>
        <w:t>arc_act_hi_procinst</w:t>
      </w:r>
      <w:r>
        <w:rPr>
          <w:rFonts w:ascii="Calibri" w:hAnsi="Calibri"/>
          <w:sz w:val="22"/>
        </w:rPr>
        <w:t xml:space="preserve"> before high-volume ingestion.</w:t>
      </w:r>
    </w:p>
    <w:p>
      <w:pPr>
        <w:pStyle w:val="ListBullet"/>
      </w:pPr>
      <w:r>
        <w:rPr>
          <w:rFonts w:ascii="Calibri" w:hAnsi="Calibri"/>
          <w:sz w:val="22"/>
        </w:rPr>
        <w:t xml:space="preserve">Tune PostgreSQL autovacuum and </w:t>
      </w:r>
      <w:r>
        <w:rPr>
          <w:rFonts w:ascii="Consolas" w:hAnsi="Consolas"/>
          <w:color w:val="1E1E1E"/>
          <w:sz w:val="19"/>
        </w:rPr>
        <w:t>work_mem</w:t>
      </w:r>
      <w:r>
        <w:rPr>
          <w:rFonts w:ascii="Calibri" w:hAnsi="Calibri"/>
          <w:sz w:val="22"/>
        </w:rPr>
        <w:t xml:space="preserve"> for reporting queries.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Configure Grafana dashboards against </w:t>
      </w:r>
      <w:r>
        <w:rPr>
          <w:rFonts w:ascii="Consolas" w:hAnsi="Consolas"/>
          <w:color w:val="1E1E1E"/>
          <w:sz w:val="19"/>
        </w:rPr>
        <w:t>/api/metrics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Back up the archive database independently from Camunda runtime DB.</w:t>
      </w:r>
    </w:p>
    <w:p>
      <w:pPr>
        <w:pStyle w:val="ListBullet"/>
      </w:pPr>
      <w:r>
        <w:rPr>
          <w:rFonts w:ascii="Calibri" w:hAnsi="Calibri"/>
          <w:sz w:val="22"/>
        </w:rPr>
        <w:t>Back up the Camunda DB before enabling delete-after-archive in production.</w:t>
      </w:r>
    </w:p>
    <w:p>
      <w:pPr>
        <w:pStyle w:val="ListBullet"/>
      </w:pPr>
      <w:r>
        <w:rPr>
          <w:rFonts w:ascii="Calibri" w:hAnsi="Calibri"/>
          <w:sz w:val="22"/>
        </w:rPr>
        <w:t>Test archive and re-sync on a Camunda staging database with representative completed, failed, variable, bytearray, job log, attachment, and comment history.</w:t>
      </w:r>
    </w:p>
    <w:p>
      <w:pPr>
        <w:pStyle w:val="ListBullet"/>
      </w:pPr>
      <w:r>
        <w:rPr>
          <w:rFonts w:ascii="Calibri" w:hAnsi="Calibri"/>
          <w:sz w:val="22"/>
        </w:rPr>
        <w:t>Add estate-specific archive table pairs for any custom history tables.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WHITE_PAP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Archive HLD - Operations Guide</dc:title>
  <dc:subject>Camunda archive high-level design documentation</dc:subject>
  <dc:creator>python-docx</dc:creator>
  <cp:keywords>Camunda, archive, restore, history cleanup, HLD, white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