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Camunda Archive HLD - Restore Design</w:t>
      </w:r>
    </w:p>
    <w:p>
      <w:pPr>
        <w:spacing w:after="240"/>
      </w:pPr>
      <w:r>
        <w:rPr>
          <w:rFonts w:ascii="Calibri" w:hAnsi="Calibri"/>
          <w:i/>
          <w:color w:val="5A636F"/>
          <w:sz w:val="24"/>
        </w:rPr>
        <w:t>High-Level Design and Technical Reference</w:t>
      </w:r>
    </w:p>
    <w:p>
      <w:pPr>
        <w:pBdr>
          <w:bottom w:val="single" w:sz="8" w:space="6" w:color="9EB7D5"/>
        </w:pBdr>
      </w:pPr>
    </w:p>
    <w:p>
      <w:r>
        <w:rPr>
          <w:rFonts w:ascii="Calibri" w:hAnsi="Calibri"/>
          <w:sz w:val="22"/>
        </w:rPr>
        <w:t xml:space="preserve">For the full architecture and lifecycle analysis, see </w:t>
      </w:r>
      <w:hyperlink r:id="rId11">
        <w:r>
          <w:rPr>
            <w:color w:val="0563C1"/>
            <w:u w:val="single"/>
          </w:rPr>
          <w:t>Camunda Data Archiving Project White Paper</w:t>
        </w:r>
      </w:hyperlink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The system re-syncs archived workflow history by moving historic rows back into the Camunda history database. It intentionally avoids direct manipulation of Camunda runtime tables.</w:t>
      </w:r>
    </w:p>
    <w:p>
      <w:r>
        <w:rPr>
          <w:rFonts w:ascii="Calibri" w:hAnsi="Calibri"/>
          <w:sz w:val="22"/>
        </w:rPr>
        <w:t>This is a history restore, not a runtime reconstruction. It does not call Camunda REST process start APIs and does not create a new process instance.</w:t>
      </w:r>
    </w:p>
    <w:p>
      <w:pPr>
        <w:pStyle w:val="Heading1"/>
      </w:pPr>
      <w:r>
        <w:t>Flow</w:t>
      </w:r>
    </w:p>
    <w:p>
      <w:pPr>
        <w:pStyle w:val="ListNumber"/>
      </w:pPr>
      <w:r>
        <w:rPr>
          <w:rFonts w:ascii="Calibri" w:hAnsi="Calibri"/>
          <w:sz w:val="22"/>
        </w:rPr>
        <w:t xml:space="preserve">Create an </w:t>
      </w:r>
      <w:r>
        <w:rPr>
          <w:rFonts w:ascii="Consolas" w:hAnsi="Consolas"/>
          <w:color w:val="1E1E1E"/>
          <w:sz w:val="19"/>
        </w:rPr>
        <w:t>arc_restore_log</w:t>
      </w:r>
      <w:r>
        <w:rPr>
          <w:rFonts w:ascii="Calibri" w:hAnsi="Calibri"/>
          <w:sz w:val="22"/>
        </w:rPr>
        <w:t xml:space="preserve"> row with status </w:t>
      </w:r>
      <w:r>
        <w:rPr>
          <w:rFonts w:ascii="Consolas" w:hAnsi="Consolas"/>
          <w:color w:val="1E1E1E"/>
          <w:sz w:val="19"/>
        </w:rPr>
        <w:t>RUNNING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Confirm the requested </w:t>
      </w:r>
      <w:r>
        <w:rPr>
          <w:rFonts w:ascii="Consolas" w:hAnsi="Consolas"/>
          <w:color w:val="1E1E1E"/>
          <w:sz w:val="19"/>
        </w:rPr>
        <w:t>PROC_INST_ID_</w:t>
      </w:r>
      <w:r>
        <w:rPr>
          <w:rFonts w:ascii="Calibri" w:hAnsi="Calibri"/>
          <w:sz w:val="22"/>
        </w:rPr>
        <w:t xml:space="preserve"> exists in </w:t>
      </w:r>
      <w:r>
        <w:rPr>
          <w:rFonts w:ascii="Consolas" w:hAnsi="Consolas"/>
          <w:color w:val="1E1E1E"/>
          <w:sz w:val="19"/>
        </w:rPr>
        <w:t>arc_act_hi_procinst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If </w:t>
      </w:r>
      <w:r>
        <w:rPr>
          <w:rFonts w:ascii="Consolas" w:hAnsi="Consolas"/>
          <w:color w:val="1E1E1E"/>
          <w:sz w:val="19"/>
        </w:rPr>
        <w:t>includeChildren</w:t>
      </w:r>
      <w:r>
        <w:rPr>
          <w:rFonts w:ascii="Calibri" w:hAnsi="Calibri"/>
          <w:sz w:val="22"/>
        </w:rPr>
        <w:t xml:space="preserve"> is enabled, discover child process ids from </w:t>
      </w:r>
      <w:r>
        <w:rPr>
          <w:rFonts w:ascii="Consolas" w:hAnsi="Consolas"/>
          <w:color w:val="1E1E1E"/>
          <w:sz w:val="19"/>
        </w:rPr>
        <w:t>arc_act_hi_procinst.super_process_instance_id_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 xml:space="preserve">For each supported history table, copy rows from the </w:t>
      </w:r>
      <w:r>
        <w:rPr>
          <w:rFonts w:ascii="Consolas" w:hAnsi="Consolas"/>
          <w:color w:val="1E1E1E"/>
          <w:sz w:val="19"/>
        </w:rPr>
        <w:t>arc_*</w:t>
      </w:r>
      <w:r>
        <w:rPr>
          <w:rFonts w:ascii="Calibri" w:hAnsi="Calibri"/>
          <w:sz w:val="22"/>
        </w:rPr>
        <w:t xml:space="preserve"> table back into the original Camunda history table.</w:t>
      </w:r>
    </w:p>
    <w:p>
      <w:pPr>
        <w:pStyle w:val="ListNumber"/>
      </w:pPr>
      <w:r>
        <w:rPr>
          <w:rFonts w:ascii="Calibri" w:hAnsi="Calibri"/>
          <w:sz w:val="22"/>
        </w:rPr>
        <w:t xml:space="preserve">Copy only columns that exist in the destination table and skip archive metadata columns such as </w:t>
      </w:r>
      <w:r>
        <w:rPr>
          <w:rFonts w:ascii="Consolas" w:hAnsi="Consolas"/>
          <w:color w:val="1E1E1E"/>
          <w:sz w:val="19"/>
        </w:rPr>
        <w:t>archived_at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archive_run_id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color w:val="1E1E1E"/>
          <w:sz w:val="19"/>
        </w:rPr>
        <w:t>soft_deleted_at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Delete copied rows from the archive tables.</w:t>
      </w:r>
    </w:p>
    <w:p>
      <w:pPr>
        <w:pStyle w:val="ListNumber"/>
      </w:pPr>
      <w:r>
        <w:rPr>
          <w:rFonts w:ascii="Calibri" w:hAnsi="Calibri"/>
          <w:sz w:val="22"/>
        </w:rPr>
        <w:t xml:space="preserve">Mark </w:t>
      </w:r>
      <w:r>
        <w:rPr>
          <w:rFonts w:ascii="Consolas" w:hAnsi="Consolas"/>
          <w:color w:val="1E1E1E"/>
          <w:sz w:val="19"/>
        </w:rPr>
        <w:t>arc_restore_log</w:t>
      </w:r>
      <w:r>
        <w:rPr>
          <w:rFonts w:ascii="Calibri" w:hAnsi="Calibri"/>
          <w:sz w:val="22"/>
        </w:rPr>
        <w:t xml:space="preserve"> as </w:t>
      </w:r>
      <w:r>
        <w:rPr>
          <w:rFonts w:ascii="Consolas" w:hAnsi="Consolas"/>
          <w:color w:val="1E1E1E"/>
          <w:sz w:val="19"/>
        </w:rPr>
        <w:t>COMPLETED</w:t>
      </w:r>
      <w:r>
        <w:rPr>
          <w:rFonts w:ascii="Calibri" w:hAnsi="Calibri"/>
          <w:sz w:val="22"/>
        </w:rPr>
        <w:t xml:space="preserve"> with restored ids and row counts.</w:t>
      </w:r>
    </w:p>
    <w:p>
      <w:r>
        <w:rPr>
          <w:rFonts w:ascii="Calibri" w:hAnsi="Calibri"/>
          <w:sz w:val="22"/>
        </w:rPr>
        <w:t>The restored process keeps the original process instance id. After re-sync, it appears again in the Completed or Failed workflow list because the history rows are back in Camunda's history tables.</w:t>
      </w:r>
    </w:p>
    <w:p>
      <w:pPr>
        <w:pStyle w:val="Heading1"/>
      </w:pPr>
      <w:r>
        <w:t>Supported Table Pairs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Archive source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Camunda destination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`arc_act_hi_procinst`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`act_hi_procinst`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`arc_act_hi_actinst`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`act_hi_actinst`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`arc_act_hi_taskinst`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`act_hi_taskinst`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`arc_act_hi_varinst`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`act_hi_varinst`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`arc_act_hi_detail`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`act_hi_detail`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`arc_act_hi_incident`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`act_hi_incident`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`arc_act_hi_job_log`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`arc_act_ge_bytearray`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`act_ge_bytearray`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`arc_act_hi_op_log`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`act_hi_op_log`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`arc_act_hi_attachment`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`act_hi_attachment`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`arc_act_hi_comment`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`act_hi_comment`</w:t>
            </w:r>
          </w:p>
        </w:tc>
      </w:tr>
    </w:tbl>
    <w:p>
      <w:pPr>
        <w:pStyle w:val="Heading1"/>
      </w:pPr>
      <w:r>
        <w:t>Parent-Child Handling</w:t>
      </w:r>
    </w:p>
    <w:p>
      <w:r>
        <w:rPr>
          <w:rFonts w:ascii="Calibri" w:hAnsi="Calibri"/>
          <w:sz w:val="22"/>
        </w:rPr>
        <w:t>Archived data preserves: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SUPER_PROCESS_INSTANCE_ID_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ROOT_PROC_INST_ID_</w:t>
      </w:r>
    </w:p>
    <w:p>
      <w:pPr>
        <w:pStyle w:val="ListBullet"/>
      </w:pPr>
      <w:r>
        <w:rPr>
          <w:rFonts w:ascii="Calibri" w:hAnsi="Calibri"/>
          <w:sz w:val="22"/>
        </w:rPr>
        <w:t>call activity links from history activity rows</w:t>
      </w:r>
    </w:p>
    <w:p>
      <w:r>
        <w:rPr>
          <w:rFonts w:ascii="Calibri" w:hAnsi="Calibri"/>
          <w:sz w:val="22"/>
        </w:rPr>
        <w:t xml:space="preserve">During re-sync, children are discovered from </w:t>
      </w:r>
      <w:r>
        <w:rPr>
          <w:rFonts w:ascii="Consolas" w:hAnsi="Consolas"/>
          <w:color w:val="1E1E1E"/>
          <w:sz w:val="19"/>
        </w:rPr>
        <w:t>arc_act_hi_procinst.super_process_instance_id_</w:t>
      </w:r>
      <w:r>
        <w:rPr>
          <w:rFonts w:ascii="Calibri" w:hAnsi="Calibri"/>
          <w:sz w:val="22"/>
        </w:rPr>
        <w:t xml:space="preserve">. Parent and child history rows are moved together when </w:t>
      </w:r>
      <w:r>
        <w:rPr>
          <w:rFonts w:ascii="Consolas" w:hAnsi="Consolas"/>
          <w:color w:val="1E1E1E"/>
          <w:sz w:val="19"/>
        </w:rPr>
        <w:t>includeChildren</w:t>
      </w:r>
      <w:r>
        <w:rPr>
          <w:rFonts w:ascii="Calibri" w:hAnsi="Calibri"/>
          <w:sz w:val="22"/>
        </w:rPr>
        <w:t xml:space="preserve"> is true.</w:t>
      </w:r>
    </w:p>
    <w:p>
      <w:pPr>
        <w:pStyle w:val="Heading1"/>
      </w:pPr>
      <w:r>
        <w:t>UI Entry Points</w:t>
      </w:r>
    </w:p>
    <w:p>
      <w:pPr>
        <w:pStyle w:val="ListBullet"/>
      </w:pPr>
      <w:r>
        <w:rPr>
          <w:rFonts w:ascii="Calibri" w:hAnsi="Calibri"/>
          <w:sz w:val="22"/>
        </w:rPr>
        <w:t xml:space="preserve">Archived Workflows: use the row-level </w:t>
      </w:r>
      <w:r>
        <w:rPr>
          <w:rFonts w:ascii="Consolas" w:hAnsi="Consolas"/>
          <w:color w:val="1E1E1E"/>
          <w:sz w:val="19"/>
        </w:rPr>
        <w:t>Re-sync</w:t>
      </w:r>
      <w:r>
        <w:rPr>
          <w:rFonts w:ascii="Calibri" w:hAnsi="Calibri"/>
          <w:sz w:val="22"/>
        </w:rPr>
        <w:t xml:space="preserve"> action to move an archived instance back to Camunda history.</w:t>
      </w:r>
    </w:p>
    <w:p>
      <w:pPr>
        <w:pStyle w:val="ListBullet"/>
      </w:pPr>
      <w:r>
        <w:rPr>
          <w:rFonts w:ascii="Calibri" w:hAnsi="Calibri"/>
          <w:sz w:val="22"/>
        </w:rPr>
        <w:t>Restore Workflow: submit a process instance id, reason, and include-children flag.</w:t>
      </w:r>
    </w:p>
    <w:p>
      <w:pPr>
        <w:pStyle w:val="ListBullet"/>
      </w:pPr>
      <w:r>
        <w:rPr>
          <w:rFonts w:ascii="Calibri" w:hAnsi="Calibri"/>
          <w:sz w:val="22"/>
        </w:rPr>
        <w:t>Completed/Failed Workflows: after re-sync, the restored history appears in the relevant workflow list and can be archived again.</w:t>
      </w:r>
    </w:p>
    <w:p>
      <w:r>
        <w:rPr>
          <w:rFonts w:ascii="Calibri" w:hAnsi="Calibri"/>
          <w:sz w:val="22"/>
        </w:rPr>
        <w:t>Running Workflows does not expose archive or re-sync actions.</w:t>
      </w:r>
    </w:p>
    <w:p>
      <w:pPr>
        <w:pStyle w:val="Heading1"/>
      </w:pPr>
      <w:r>
        <w:t>Safety Rules</w:t>
      </w:r>
    </w:p>
    <w:p>
      <w:pPr>
        <w:pStyle w:val="ListBullet"/>
      </w:pPr>
      <w:r>
        <w:rPr>
          <w:rFonts w:ascii="Calibri" w:hAnsi="Calibri"/>
          <w:sz w:val="22"/>
        </w:rPr>
        <w:t xml:space="preserve">Never write to Camunda </w:t>
      </w:r>
      <w:r>
        <w:rPr>
          <w:rFonts w:ascii="Consolas" w:hAnsi="Consolas"/>
          <w:color w:val="1E1E1E"/>
          <w:sz w:val="19"/>
        </w:rPr>
        <w:t>ACT_RU_*</w:t>
      </w:r>
      <w:r>
        <w:rPr>
          <w:rFonts w:ascii="Calibri" w:hAnsi="Calibri"/>
          <w:sz w:val="22"/>
        </w:rPr>
        <w:t xml:space="preserve"> runtime tables.</w:t>
      </w:r>
    </w:p>
    <w:p>
      <w:pPr>
        <w:pStyle w:val="ListBullet"/>
      </w:pPr>
      <w:r>
        <w:rPr>
          <w:rFonts w:ascii="Calibri" w:hAnsi="Calibri"/>
          <w:sz w:val="22"/>
        </w:rPr>
        <w:t>Do not re-sync into runtime state. This restores history visibility only.</w:t>
      </w:r>
    </w:p>
    <w:p>
      <w:pPr>
        <w:pStyle w:val="ListBullet"/>
      </w:pPr>
      <w:r>
        <w:rPr>
          <w:rFonts w:ascii="Calibri" w:hAnsi="Calibri"/>
          <w:sz w:val="22"/>
        </w:rPr>
        <w:t>Use database transactions on both archive and Camunda databases during the move.</w:t>
      </w:r>
    </w:p>
    <w:p>
      <w:pPr>
        <w:pStyle w:val="ListBullet"/>
      </w:pPr>
      <w:r>
        <w:rPr>
          <w:rFonts w:ascii="Calibri" w:hAnsi="Calibri"/>
          <w:sz w:val="22"/>
        </w:rPr>
        <w:t xml:space="preserve">Use </w:t>
      </w:r>
      <w:r>
        <w:rPr>
          <w:rFonts w:ascii="Consolas" w:hAnsi="Consolas"/>
          <w:color w:val="1E1E1E"/>
          <w:sz w:val="19"/>
        </w:rPr>
        <w:t>on conflict do nothing</w:t>
      </w:r>
      <w:r>
        <w:rPr>
          <w:rFonts w:ascii="Calibri" w:hAnsi="Calibri"/>
          <w:sz w:val="22"/>
        </w:rPr>
        <w:t xml:space="preserve"> while copying back to avoid duplicate-key failures during repeated operator actions.</w:t>
      </w:r>
    </w:p>
    <w:p>
      <w:pPr>
        <w:pStyle w:val="ListBullet"/>
      </w:pPr>
      <w:r>
        <w:rPr>
          <w:rFonts w:ascii="Calibri" w:hAnsi="Calibri"/>
          <w:sz w:val="22"/>
        </w:rPr>
        <w:t>Delete archive rows only after the copy into Camunda history succeeds.</w:t>
      </w:r>
    </w:p>
    <w:p>
      <w:pPr>
        <w:pStyle w:val="Heading1"/>
      </w:pPr>
      <w:r>
        <w:t>Limitations To Finalize Per Estate</w:t>
      </w:r>
    </w:p>
    <w:p>
      <w:pPr>
        <w:pStyle w:val="ListBullet"/>
      </w:pPr>
      <w:r>
        <w:rPr>
          <w:rFonts w:ascii="Calibri" w:hAnsi="Calibri"/>
          <w:sz w:val="22"/>
        </w:rPr>
        <w:t>Re-sync restores history rows, not active runtime executions.</w:t>
      </w:r>
    </w:p>
    <w:p>
      <w:pPr>
        <w:pStyle w:val="ListBullet"/>
      </w:pPr>
      <w:r>
        <w:rPr>
          <w:rFonts w:ascii="Calibri" w:hAnsi="Calibri"/>
          <w:sz w:val="22"/>
        </w:rPr>
        <w:t>If your Camunda estate has custom history tables, add matching archive tables and table-pair mappings.</w:t>
      </w:r>
    </w:p>
    <w:p>
      <w:pPr>
        <w:pStyle w:val="ListBullet"/>
      </w:pPr>
      <w:r>
        <w:rPr>
          <w:rFonts w:ascii="Calibri" w:hAnsi="Calibri"/>
          <w:sz w:val="22"/>
        </w:rPr>
        <w:t>If Camunda version upgrades introduce new history columns, keep archive schema migrations current. The code already ignores unknown source columns that do not exist in the destination table.</w:t>
      </w:r>
    </w:p>
    <w:p>
      <w:pPr>
        <w:pStyle w:val="ListBullet"/>
      </w:pPr>
      <w:r>
        <w:rPr>
          <w:rFonts w:ascii="Calibri" w:hAnsi="Calibri"/>
          <w:sz w:val="22"/>
        </w:rPr>
        <w:t>Validate table foreign-key constraints before enabling this against a hardened production Camunda schema.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636F"/>
        <w:sz w:val="18"/>
      </w:rPr>
      <w:t>HLD Documentation 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A636F"/>
        <w:sz w:val="18"/>
      </w:rPr>
      <w:t>Camunda Data Archiving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WHITE_PAPE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Camunda Archive HLD - Restore Design</dc:title>
  <dc:subject>Camunda archive high-level design documentation</dc:subject>
  <dc:creator>python-docx</dc:creator>
  <cp:keywords>Camunda, archive, restore, history cleanup, HLD, white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