
<file path=[Content_Types].xml><?xml version="1.0" encoding="utf-8"?>
<Types xmlns="http://schemas.openxmlformats.org/package/2006/content-types">
  <Default Extension="xlsx" ContentType="application/vnd.openxmlformats-officedocument.spreadsheetml.sheet"/>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PartName="/word/charts/chart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819"/>
        <w:gridCol w:w="4819"/>
      </w:tblGrid>
      <w:tr>
        <w:trPr>
          <w:cantSplit/>
        </w:trPr>
        <w:tc>
          <w:tcPr>
            <w:tcW w:type="dxa" w:w="4819"/>
            <w:tcBorders>
              <w:top w:val="nil" w:color="auto" w:sz="0"/>
              <w:left w:val="nil" w:color="auto" w:sz="0"/>
              <w:bottom w:val="single" w:color="BA9A58" w:sz="5"/>
              <w:right w:val="nil" w:color="auto" w:sz="0"/>
            </w:tcBorders>
            <w:tcMar>
              <w:top w:type="dxa" w:w="0"/>
              <w:left w:type="dxa" w:w="0"/>
              <w:bottom w:type="dxa" w:w="283"/>
              <w:right w:type="dxa" w:w="0"/>
            </w:tcMar>
            <w:vAlign w:val="bottom"/>
          </w:tcPr>
          <w:p>
            <w:pPr>
              <w:keepLines/>
              <w:spacing w:after="0" w:before="0"/>
            </w:pPr>
            <w:r>
              <w:drawing>
                <wp:inline distT="0" distB="0" distL="0" distR="0">
                  <wp:extent cx="187642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76425" cy="733425"/>
                          </a:xfrm>
                          <a:prstGeom prst="rect">
                            <a:avLst/>
                          </a:prstGeom>
                        </pic:spPr>
                      </pic:pic>
                    </a:graphicData>
                  </a:graphic>
                </wp:inline>
              </w:drawing>
            </w:r>
          </w:p>
        </w:tc>
        <w:tc>
          <w:tcPr>
            <w:tcW w:type="dxa" w:w="4819"/>
            <w:tcBorders>
              <w:top w:val="nil" w:color="auto" w:sz="0"/>
              <w:left w:val="nil" w:color="auto" w:sz="0"/>
              <w:bottom w:val="single" w:color="BA9A58" w:sz="5"/>
              <w:right w:val="nil" w:color="auto" w:sz="0"/>
            </w:tcBorders>
            <w:tcMar>
              <w:top w:type="dxa" w:w="0"/>
              <w:left w:type="dxa" w:w="0"/>
              <w:bottom w:type="dxa" w:w="283"/>
              <w:right w:type="dxa" w:w="0"/>
            </w:tcMar>
            <w:vAlign w:val="bottom"/>
          </w:tcPr>
          <w:p>
            <w:pPr>
              <w:keepLines/>
              <w:spacing w:after="0" w:before="0" w:line="236" w:lineRule="atLeast"/>
              <w:jc w:val="right"/>
            </w:pPr>
            <w:r>
              <w:rPr>
                <w:rFonts w:ascii="Inter SemiBold" w:cs="Inter SemiBold" w:eastAsia="Inter SemiBold" w:hAnsi="Inter SemiBold"/>
                <w:color w:val="1C1A16"/>
                <w:kern w:val="2"/>
                <w:sz w:val="15"/>
                <w:szCs w:val="15"/>
              </w:rPr>
              <w:t xml:space="preserve">Renovare Design &amp; Build SL</w:t>
            </w:r>
          </w:p>
          <w:p>
            <w:pPr>
              <w:keepLines/>
              <w:spacing w:after="0" w:before="0" w:line="236" w:lineRule="atLeast"/>
              <w:jc w:val="right"/>
            </w:pPr>
            <w:r>
              <w:rPr>
                <w:rFonts w:ascii="Inter" w:cs="Inter" w:eastAsia="Inter" w:hAnsi="Inter"/>
                <w:color w:val="625B50"/>
                <w:kern w:val="2"/>
                <w:sz w:val="15"/>
                <w:szCs w:val="15"/>
              </w:rPr>
              <w:t xml:space="preserve">CIF B-88775341</w:t>
            </w:r>
          </w:p>
          <w:p>
            <w:pPr>
              <w:keepLines/>
              <w:spacing w:after="0" w:before="0" w:line="236" w:lineRule="atLeast"/>
              <w:jc w:val="right"/>
            </w:pPr>
            <w:r>
              <w:rPr>
                <w:rFonts w:ascii="Inter" w:cs="Inter" w:eastAsia="Inter" w:hAnsi="Inter"/>
                <w:color w:val="625B50"/>
                <w:kern w:val="2"/>
                <w:sz w:val="15"/>
                <w:szCs w:val="15"/>
              </w:rPr>
              <w:t xml:space="preserve">Calle Creu Roja 1, bajo · Benetússer</w:t>
            </w:r>
          </w:p>
          <w:p>
            <w:pPr>
              <w:keepLines/>
              <w:spacing w:after="0" w:before="0" w:line="236" w:lineRule="atLeast"/>
              <w:jc w:val="right"/>
            </w:pPr>
            <w:r>
              <w:rPr>
                <w:rFonts w:ascii="Inter" w:cs="Inter" w:eastAsia="Inter" w:hAnsi="Inter"/>
                <w:color w:val="625B50"/>
                <w:kern w:val="2"/>
                <w:sz w:val="15"/>
                <w:szCs w:val="15"/>
              </w:rPr>
              <w:t xml:space="preserve">www.renovaredyb.com</w:t>
            </w:r>
          </w:p>
          <w:p>
            <w:pPr>
              <w:keepLines/>
              <w:spacing w:after="0" w:before="0" w:line="236" w:lineRule="atLeast"/>
              <w:jc w:val="right"/>
            </w:pPr>
            <w:r>
              <w:rPr>
                <w:rFonts w:ascii="Inter" w:cs="Inter" w:eastAsia="Inter" w:hAnsi="Inter"/>
                <w:color w:val="625B50"/>
                <w:kern w:val="2"/>
                <w:sz w:val="15"/>
                <w:szCs w:val="15"/>
              </w:rPr>
              <w:t xml:space="preserve">624 892 643 · renovaredyb@gmail.com</w:t>
            </w:r>
          </w:p>
        </w:tc>
      </w:tr>
    </w:tbl>
    <w:p>
      <w:pPr>
        <w:keepNext/>
        <w:keepLines/>
        <w:spacing w:after="142" w:before="397" w:line="218" w:lineRule="atLeast"/>
      </w:pPr>
      <w:r>
        <w:rPr>
          <w:rFonts w:ascii="Inter SemiBold" w:cs="Inter SemiBold" w:eastAsia="Inter SemiBold" w:hAnsi="Inter SemiBold"/>
          <w:caps/>
          <w:color w:val="85692F"/>
          <w:spacing w:val="25"/>
          <w:kern w:val="2"/>
          <w:sz w:val="16"/>
          <w:szCs w:val="16"/>
        </w:rPr>
        <w:t xml:space="preserve">Propuesta comercial</w:t>
      </w:r>
    </w:p>
    <w:p>
      <w:pPr>
        <w:keepLines/>
        <w:spacing w:after="57" w:before="0" w:line="660" w:lineRule="atLeast"/>
      </w:pPr>
      <w:r>
        <w:rPr>
          <w:rFonts w:ascii="EB Garamond Medium" w:cs="EB Garamond Medium" w:eastAsia="EB Garamond Medium" w:hAnsi="EB Garamond Medium"/>
          <w:color w:val="1C1A16"/>
          <w:kern w:val="2"/>
          <w:sz w:val="58"/>
          <w:szCs w:val="58"/>
        </w:rPr>
        <w:t xml:space="preserve">Presupuesto de reforma</w:t>
      </w:r>
    </w:p>
    <w:p>
      <w:pPr>
        <w:keepLines/>
        <w:spacing w:after="283" w:before="0" w:line="340" w:lineRule="atLeast"/>
      </w:pPr>
      <w:r>
        <w:rPr>
          <w:rFonts w:ascii="EB Garamond Medium" w:cs="EB Garamond Medium" w:eastAsia="EB Garamond Medium" w:hAnsi="EB Garamond Medium"/>
          <w:i/>
          <w:iCs/>
          <w:color w:val="85692F"/>
          <w:kern w:val="2"/>
          <w:sz w:val="27"/>
          <w:szCs w:val="27"/>
        </w:rPr>
        <w:t xml:space="preserve">Reforma integral en Valencia</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3628"/>
        <w:gridCol w:w="1757"/>
        <w:gridCol w:w="1587"/>
        <w:gridCol w:w="2666"/>
      </w:tblGrid>
      <w:tr>
        <w:trPr>
          <w:cantSplit/>
        </w:trPr>
        <w:tc>
          <w:tcPr>
            <w:tcW w:type="dxa" w:w="9638"/>
            <w:gridSpan w:val="4"/>
            <w:tcBorders>
              <w:top w:val="single" w:color="E2DBCD" w:sz="5"/>
              <w:left w:val="nil" w:color="auto" w:sz="0"/>
              <w:bottom w:val="nil" w:color="auto" w:sz="0"/>
              <w:right w:val="nil" w:color="auto" w:sz="0"/>
            </w:tcBorders>
            <w:tcMar>
              <w:top w:type="dxa" w:w="170"/>
              <w:left w:type="dxa" w:w="0"/>
              <w:bottom w:type="dxa" w:w="113"/>
              <w:right w:type="dxa" w:w="17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Preparado para</w:t>
            </w:r>
          </w:p>
          <w:p>
            <w:pPr>
              <w:keepLines/>
              <w:spacing w:after="0" w:before="28" w:line="320" w:lineRule="atLeast"/>
            </w:pPr>
            <w:r>
              <w:rPr>
                <w:rFonts w:ascii="Inter SemiBold" w:cs="Inter SemiBold" w:eastAsia="Inter SemiBold" w:hAnsi="Inter SemiBold"/>
                <w:color w:val="1C1A16"/>
                <w:kern w:val="2"/>
                <w:sz w:val="24"/>
                <w:szCs w:val="24"/>
              </w:rPr>
              <w:t xml:space="preserve">Cristian Nohalez García</w:t>
            </w:r>
          </w:p>
        </w:tc>
      </w:tr>
      <w:tr>
        <w:trPr>
          <w:cantSplit/>
        </w:trPr>
        <w:tc>
          <w:tcPr>
            <w:tcW w:type="dxa" w:w="3628"/>
            <w:tcBorders>
              <w:top w:val="nil" w:color="auto" w:sz="0"/>
              <w:left w:val="nil" w:color="auto" w:sz="0"/>
              <w:bottom w:val="single" w:color="E2DBCD" w:sz="5"/>
              <w:right w:val="nil" w:color="auto" w:sz="0"/>
            </w:tcBorders>
            <w:tcMar>
              <w:top w:type="dxa" w:w="0"/>
              <w:left w:type="dxa" w:w="0"/>
              <w:bottom w:type="dxa" w:w="170"/>
              <w:right w:type="dxa" w:w="17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Obra</w:t>
            </w:r>
          </w:p>
          <w:p>
            <w:pPr>
              <w:keepLines/>
              <w:spacing w:after="0" w:before="28" w:line="280" w:lineRule="atLeast"/>
            </w:pPr>
            <w:r>
              <w:rPr>
                <w:rFonts w:ascii="Inter Medium" w:cs="Inter Medium" w:eastAsia="Inter Medium" w:hAnsi="Inter Medium"/>
                <w:color w:val="1C1A16"/>
                <w:kern w:val="2"/>
                <w:sz w:val="19"/>
                <w:szCs w:val="19"/>
              </w:rPr>
              <w:t xml:space="preserve">Calle Barig 3, Benicalap · 46025</w:t>
            </w:r>
          </w:p>
        </w:tc>
        <w:tc>
          <w:tcPr>
            <w:tcW w:type="dxa" w:w="1757"/>
            <w:tcBorders>
              <w:top w:val="nil" w:color="auto" w:sz="0"/>
              <w:left w:val="nil" w:color="auto" w:sz="0"/>
              <w:bottom w:val="single" w:color="E2DBCD" w:sz="5"/>
              <w:right w:val="nil" w:color="auto" w:sz="0"/>
            </w:tcBorders>
            <w:tcMar>
              <w:top w:type="dxa" w:w="0"/>
              <w:left w:type="dxa" w:w="0"/>
              <w:bottom w:type="dxa" w:w="170"/>
              <w:right w:type="dxa" w:w="17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Referencia</w:t>
            </w:r>
          </w:p>
          <w:p>
            <w:pPr>
              <w:keepLines/>
              <w:spacing w:after="0" w:before="28" w:line="280" w:lineRule="atLeast"/>
            </w:pPr>
            <w:r>
              <w:rPr>
                <w:rFonts w:ascii="Inter Medium" w:cs="Inter Medium" w:eastAsia="Inter Medium" w:hAnsi="Inter Medium"/>
                <w:color w:val="1C1A16"/>
                <w:kern w:val="2"/>
                <w:sz w:val="19"/>
                <w:szCs w:val="19"/>
              </w:rPr>
              <w:t xml:space="preserve">SV-0045-03</w:t>
            </w:r>
          </w:p>
        </w:tc>
        <w:tc>
          <w:tcPr>
            <w:tcW w:type="dxa" w:w="1587"/>
            <w:tcBorders>
              <w:top w:val="nil" w:color="auto" w:sz="0"/>
              <w:left w:val="nil" w:color="auto" w:sz="0"/>
              <w:bottom w:val="single" w:color="E2DBCD" w:sz="5"/>
              <w:right w:val="nil" w:color="auto" w:sz="0"/>
            </w:tcBorders>
            <w:tcMar>
              <w:top w:type="dxa" w:w="0"/>
              <w:left w:type="dxa" w:w="0"/>
              <w:bottom w:type="dxa" w:w="170"/>
              <w:right w:type="dxa" w:w="17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Emisión</w:t>
            </w:r>
          </w:p>
          <w:p>
            <w:pPr>
              <w:keepLines/>
              <w:spacing w:after="0" w:before="28" w:line="280" w:lineRule="atLeast"/>
            </w:pPr>
            <w:r>
              <w:rPr>
                <w:rFonts w:ascii="Inter Medium" w:cs="Inter Medium" w:eastAsia="Inter Medium" w:hAnsi="Inter Medium"/>
                <w:color w:val="1C1A16"/>
                <w:kern w:val="2"/>
                <w:sz w:val="19"/>
                <w:szCs w:val="19"/>
              </w:rPr>
              <w:t xml:space="preserve">07/10/2026</w:t>
            </w:r>
          </w:p>
        </w:tc>
        <w:tc>
          <w:tcPr>
            <w:tcW w:type="dxa" w:w="2666"/>
            <w:tcBorders>
              <w:top w:val="nil" w:color="auto" w:sz="0"/>
              <w:left w:val="nil" w:color="auto" w:sz="0"/>
              <w:bottom w:val="single" w:color="E2DBCD" w:sz="5"/>
              <w:right w:val="nil" w:color="auto" w:sz="0"/>
            </w:tcBorders>
            <w:tcMar>
              <w:top w:type="dxa" w:w="0"/>
              <w:left w:type="dxa" w:w="0"/>
              <w:bottom w:type="dxa" w:w="170"/>
              <w:right w:type="dxa" w:w="17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Válido hasta</w:t>
            </w:r>
          </w:p>
          <w:p>
            <w:pPr>
              <w:keepLines/>
              <w:spacing w:after="0" w:before="28" w:line="280" w:lineRule="atLeast"/>
            </w:pPr>
            <w:r>
              <w:rPr>
                <w:rFonts w:ascii="Inter Medium" w:cs="Inter Medium" w:eastAsia="Inter Medium" w:hAnsi="Inter Medium"/>
                <w:color w:val="1C1A16"/>
                <w:kern w:val="2"/>
                <w:sz w:val="19"/>
                <w:szCs w:val="19"/>
              </w:rPr>
              <w:t xml:space="preserve">07/11/2026</w:t>
            </w:r>
          </w:p>
        </w:tc>
      </w:tr>
    </w:tbl>
    <w:p>
      <w:pPr>
        <w:keepNext/>
        <w:keepLines/>
        <w:spacing w:after="142" w:before="340" w:line="368" w:lineRule="atLeast"/>
      </w:pPr>
      <w:r>
        <w:rPr>
          <w:rFonts w:ascii="EB Garamond Medium" w:cs="EB Garamond Medium" w:eastAsia="EB Garamond Medium" w:hAnsi="EB Garamond Medium"/>
          <w:color w:val="1C1A16"/>
          <w:kern w:val="2"/>
          <w:sz w:val="32"/>
          <w:szCs w:val="32"/>
        </w:rPr>
        <w:t xml:space="preserve">Su proyecto en una página</w:t>
      </w:r>
    </w:p>
    <w:p>
      <w:pPr>
        <w:keepLines/>
        <w:spacing w:after="283" w:before="0" w:line="282" w:lineRule="atLeast"/>
      </w:pPr>
      <w:r>
        <w:rPr>
          <w:rFonts w:ascii="Inter" w:cs="Inter" w:eastAsia="Inter" w:hAnsi="Inter"/>
          <w:color w:val="1C1A16"/>
          <w:kern w:val="2"/>
          <w:sz w:val="19"/>
          <w:szCs w:val="19"/>
        </w:rPr>
        <w:t xml:space="preserve">Reforma integral de su vivienda de 75 m²: suelos de microcemento, electricidad y fontanería nuevas, cocina y baño completos, puertas y ventanas, alisado y pintura, aire acondicionado y retirada de residuos. La oferta recoge los trabajos, materiales y acabados definidos tras la visita realizada in situ, según su planteamiento.</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819"/>
        <w:gridCol w:w="4819"/>
      </w:tblGrid>
      <w:tr>
        <w:trPr>
          <w:cantSplit/>
        </w:trPr>
        <w:tc>
          <w:tcPr>
            <w:tcW w:type="dxa" w:w="4819"/>
            <w:tcBorders>
              <w:top w:val="single" w:color="E2DBCD" w:sz="5"/>
              <w:left w:val="single" w:color="BA9A58" w:sz="32"/>
              <w:bottom w:val="single" w:color="E2DBCD" w:sz="5"/>
              <w:right w:val="nil" w:color="auto" w:sz="0"/>
            </w:tcBorders>
            <w:shd w:fill="FAF8F4" w:color="auto" w:val="clear"/>
            <w:tcMar>
              <w:top w:type="dxa" w:w="255"/>
              <w:left w:type="dxa" w:w="340"/>
              <w:bottom w:type="dxa" w:w="255"/>
              <w:right w:type="dxa" w:w="113"/>
            </w:tcMar>
            <w:vAlign w:val="center"/>
          </w:tcPr>
          <w:p>
            <w:pPr>
              <w:keepNext/>
              <w:keepLines/>
              <w:spacing w:after="0" w:before="0" w:line="213" w:lineRule="atLeast"/>
            </w:pPr>
            <w:r>
              <w:rPr>
                <w:rFonts w:ascii="Inter SemiBold" w:cs="Inter SemiBold" w:eastAsia="Inter SemiBold" w:hAnsi="Inter SemiBold"/>
                <w:caps/>
                <w:color w:val="85692F"/>
                <w:spacing w:val="21"/>
                <w:kern w:val="2"/>
                <w:sz w:val="15"/>
                <w:szCs w:val="15"/>
              </w:rPr>
              <w:t xml:space="preserve">Inversión del proyecto base</w:t>
            </w:r>
          </w:p>
          <w:p>
            <w:pPr>
              <w:keepLines/>
              <w:spacing w:after="0" w:before="113" w:line="720" w:lineRule="atLeast"/>
            </w:pPr>
            <w:r>
              <w:rPr>
                <w:rFonts w:ascii="EB Garamond Medium" w:cs="EB Garamond Medium" w:eastAsia="EB Garamond Medium" w:hAnsi="EB Garamond Medium"/>
                <w:color w:val="1C1A16"/>
                <w:kern w:val="2"/>
                <w:sz w:val="62"/>
                <w:szCs w:val="62"/>
              </w:rPr>
              <w:t xml:space="preserve">46.359 €</w:t>
            </w:r>
            <w:r>
              <w:rPr>
                <w:rFonts w:ascii="Inter Medium" w:cs="Inter Medium" w:eastAsia="Inter Medium" w:hAnsi="Inter Medium"/>
                <w:color w:val="625B50"/>
                <w:kern w:val="2"/>
                <w:sz w:val="24"/>
                <w:szCs w:val="24"/>
              </w:rPr>
              <w:t xml:space="preserve">  + IVA</w:t>
            </w:r>
          </w:p>
        </w:tc>
        <w:tc>
          <w:tcPr>
            <w:tcW w:type="dxa" w:w="4819"/>
            <w:tcBorders>
              <w:top w:val="single" w:color="E2DBCD" w:sz="5"/>
              <w:left w:val="nil" w:color="auto" w:sz="0"/>
              <w:bottom w:val="single" w:color="E2DBCD" w:sz="5"/>
              <w:right w:val="single" w:color="E2DBCD" w:sz="5"/>
            </w:tcBorders>
            <w:shd w:fill="FAF8F4" w:color="auto" w:val="clear"/>
            <w:tcMar>
              <w:top w:type="dxa" w:w="227"/>
              <w:left w:type="dxa" w:w="283"/>
              <w:bottom w:type="dxa" w:w="227"/>
              <w:right w:type="dxa" w:w="340"/>
            </w:tcMar>
            <w:vAlign w:val="center"/>
          </w:tcPr>
          <w:tbl>
            <w:tblPr>
              <w:tblW w:type="dxa" w:w="4082"/>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2268"/>
              <w:gridCol w:w="1814"/>
            </w:tblGrid>
            <w:tr>
              <w:trPr>
                <w:cantSplit/>
              </w:trPr>
              <w:tc>
                <w:tcPr>
                  <w:tcW w:type="dxa" w:w="2268"/>
                  <w:tcBorders>
                    <w:top w:val="nil" w:color="auto" w:sz="0"/>
                    <w:left w:val="nil" w:color="auto" w:sz="0"/>
                    <w:bottom w:val="single" w:color="E2DBCD" w:sz="4"/>
                    <w:right w:val="nil" w:color="auto" w:sz="0"/>
                  </w:tcBorders>
                  <w:tcMar>
                    <w:top w:type="dxa" w:w="68"/>
                    <w:left w:type="dxa" w:w="0"/>
                    <w:bottom w:type="dxa" w:w="68"/>
                    <w:right w:type="dxa" w:w="0"/>
                  </w:tcMar>
                  <w:vAlign w:val="top"/>
                </w:tcPr>
                <w:p>
                  <w:pPr>
                    <w:keepLines/>
                    <w:spacing w:after="0" w:before="0" w:line="280" w:lineRule="atLeast"/>
                  </w:pPr>
                  <w:r>
                    <w:rPr>
                      <w:rFonts w:ascii="Inter" w:cs="Inter" w:eastAsia="Inter" w:hAnsi="Inter"/>
                      <w:color w:val="625B50"/>
                      <w:kern w:val="2"/>
                      <w:sz w:val="19"/>
                      <w:szCs w:val="19"/>
                    </w:rPr>
                    <w:t xml:space="preserve">Base imponible</w:t>
                  </w:r>
                </w:p>
              </w:tc>
              <w:tc>
                <w:tcPr>
                  <w:tcW w:type="dxa" w:w="1814"/>
                  <w:tcBorders>
                    <w:top w:val="nil" w:color="auto" w:sz="0"/>
                    <w:left w:val="nil" w:color="auto" w:sz="0"/>
                    <w:bottom w:val="single" w:color="E2DBCD" w:sz="4"/>
                    <w:right w:val="nil" w:color="auto" w:sz="0"/>
                  </w:tcBorders>
                  <w:tcMar>
                    <w:top w:type="dxa" w:w="68"/>
                    <w:left w:type="dxa" w:w="0"/>
                    <w:bottom w:type="dxa" w:w="68"/>
                    <w:right w:type="dxa" w:w="0"/>
                  </w:tcMar>
                  <w:vAlign w:val="top"/>
                </w:tcPr>
                <w:p>
                  <w:pPr>
                    <w:keepLines/>
                    <w:spacing w:after="0" w:before="0" w:line="280" w:lineRule="atLeast"/>
                    <w:jc w:val="right"/>
                  </w:pPr>
                  <w:r>
                    <w:rPr>
                      <w:rFonts w:ascii="Inter" w:cs="Inter" w:eastAsia="Inter" w:hAnsi="Inter"/>
                      <w:color w:val="1C1A16"/>
                      <w:kern w:val="2"/>
                      <w:sz w:val="19"/>
                      <w:szCs w:val="19"/>
                    </w:rPr>
                    <w:t xml:space="preserve">46.359,00 €</w:t>
                  </w:r>
                </w:p>
              </w:tc>
            </w:tr>
            <w:tr>
              <w:trPr>
                <w:cantSplit/>
              </w:trPr>
              <w:tc>
                <w:tcPr>
                  <w:tcW w:type="dxa" w:w="2268"/>
                  <w:tcBorders>
                    <w:top w:val="nil" w:color="auto" w:sz="0"/>
                    <w:left w:val="nil" w:color="auto" w:sz="0"/>
                    <w:bottom w:val="single" w:color="E2DBCD" w:sz="4"/>
                    <w:right w:val="nil" w:color="auto" w:sz="0"/>
                  </w:tcBorders>
                  <w:tcMar>
                    <w:top w:type="dxa" w:w="68"/>
                    <w:left w:type="dxa" w:w="0"/>
                    <w:bottom w:type="dxa" w:w="68"/>
                    <w:right w:type="dxa" w:w="0"/>
                  </w:tcMar>
                  <w:vAlign w:val="top"/>
                </w:tcPr>
                <w:p>
                  <w:pPr>
                    <w:keepLines/>
                    <w:spacing w:after="0" w:before="0" w:line="280" w:lineRule="atLeast"/>
                  </w:pPr>
                  <w:r>
                    <w:rPr>
                      <w:rFonts w:ascii="Inter" w:cs="Inter" w:eastAsia="Inter" w:hAnsi="Inter"/>
                      <w:color w:val="625B50"/>
                      <w:kern w:val="2"/>
                      <w:sz w:val="19"/>
                      <w:szCs w:val="19"/>
                    </w:rPr>
                    <w:t xml:space="preserve">IVA 10 %</w:t>
                  </w:r>
                </w:p>
              </w:tc>
              <w:tc>
                <w:tcPr>
                  <w:tcW w:type="dxa" w:w="1814"/>
                  <w:tcBorders>
                    <w:top w:val="nil" w:color="auto" w:sz="0"/>
                    <w:left w:val="nil" w:color="auto" w:sz="0"/>
                    <w:bottom w:val="single" w:color="E2DBCD" w:sz="4"/>
                    <w:right w:val="nil" w:color="auto" w:sz="0"/>
                  </w:tcBorders>
                  <w:tcMar>
                    <w:top w:type="dxa" w:w="68"/>
                    <w:left w:type="dxa" w:w="0"/>
                    <w:bottom w:type="dxa" w:w="68"/>
                    <w:right w:type="dxa" w:w="0"/>
                  </w:tcMar>
                  <w:vAlign w:val="top"/>
                </w:tcPr>
                <w:p>
                  <w:pPr>
                    <w:keepLines/>
                    <w:spacing w:after="0" w:before="0" w:line="280" w:lineRule="atLeast"/>
                    <w:jc w:val="right"/>
                  </w:pPr>
                  <w:r>
                    <w:rPr>
                      <w:rFonts w:ascii="Inter" w:cs="Inter" w:eastAsia="Inter" w:hAnsi="Inter"/>
                      <w:color w:val="1C1A16"/>
                      <w:kern w:val="2"/>
                      <w:sz w:val="19"/>
                      <w:szCs w:val="19"/>
                    </w:rPr>
                    <w:t xml:space="preserve">4.635,90 €</w:t>
                  </w:r>
                </w:p>
              </w:tc>
            </w:tr>
            <w:tr>
              <w:trPr>
                <w:cantSplit/>
              </w:trPr>
              <w:tc>
                <w:tcPr>
                  <w:tcW w:type="dxa" w:w="2268"/>
                  <w:tcBorders>
                    <w:top w:val="single" w:color="BA9A58" w:sz="6"/>
                    <w:left w:val="nil" w:color="auto" w:sz="0"/>
                    <w:bottom w:val="nil" w:color="auto" w:sz="0"/>
                    <w:right w:val="nil" w:color="auto" w:sz="0"/>
                  </w:tcBorders>
                  <w:tcMar>
                    <w:top w:type="dxa" w:w="68"/>
                    <w:left w:type="dxa" w:w="0"/>
                    <w:bottom w:type="dxa" w:w="68"/>
                    <w:right w:type="dxa" w:w="0"/>
                  </w:tcMar>
                  <w:vAlign w:val="top"/>
                </w:tcPr>
                <w:p>
                  <w:pPr>
                    <w:keepLines/>
                    <w:spacing w:after="0" w:before="0" w:line="280" w:lineRule="atLeast"/>
                  </w:pPr>
                  <w:r>
                    <w:rPr>
                      <w:rFonts w:ascii="Inter SemiBold" w:cs="Inter SemiBold" w:eastAsia="Inter SemiBold" w:hAnsi="Inter SemiBold"/>
                      <w:color w:val="1C1A16"/>
                      <w:kern w:val="2"/>
                      <w:sz w:val="19"/>
                      <w:szCs w:val="19"/>
                    </w:rPr>
                    <w:t xml:space="preserve">Total IVA incluido</w:t>
                  </w:r>
                </w:p>
              </w:tc>
              <w:tc>
                <w:tcPr>
                  <w:tcW w:type="dxa" w:w="1814"/>
                  <w:tcBorders>
                    <w:top w:val="single" w:color="BA9A58" w:sz="6"/>
                    <w:left w:val="nil" w:color="auto" w:sz="0"/>
                    <w:bottom w:val="nil" w:color="auto" w:sz="0"/>
                    <w:right w:val="nil" w:color="auto" w:sz="0"/>
                  </w:tcBorders>
                  <w:tcMar>
                    <w:top w:type="dxa" w:w="68"/>
                    <w:left w:type="dxa" w:w="0"/>
                    <w:bottom w:type="dxa" w:w="68"/>
                    <w:right w:type="dxa" w:w="0"/>
                  </w:tcMar>
                  <w:vAlign w:val="top"/>
                </w:tcPr>
                <w:p>
                  <w:pPr>
                    <w:keepLines/>
                    <w:spacing w:after="0" w:before="0" w:line="280" w:lineRule="atLeast"/>
                    <w:jc w:val="right"/>
                  </w:pPr>
                  <w:r>
                    <w:rPr>
                      <w:rFonts w:ascii="Inter SemiBold" w:cs="Inter SemiBold" w:eastAsia="Inter SemiBold" w:hAnsi="Inter SemiBold"/>
                      <w:color w:val="1C1A16"/>
                      <w:kern w:val="2"/>
                      <w:sz w:val="19"/>
                      <w:szCs w:val="19"/>
                    </w:rPr>
                    <w:t xml:space="preserve">50.994,90 €</w:t>
                  </w:r>
                </w:p>
              </w:tc>
            </w:tr>
          </w:tbl>
          <w:p/>
        </w:tc>
      </w:tr>
    </w:tbl>
    <w:p>
      <w:pPr>
        <w:keepLines/>
        <w:spacing w:after="0" w:before="340"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2098"/>
        <w:gridCol w:w="2494"/>
        <w:gridCol w:w="454"/>
        <w:gridCol w:w="1644"/>
        <w:gridCol w:w="2948"/>
      </w:tblGrid>
      <w:tr>
        <w:trPr>
          <w:cantSplit/>
        </w:trPr>
        <w:tc>
          <w:tcPr>
            <w:tcW w:type="dxa" w:w="4592"/>
            <w:gridSpan w:val="2"/>
            <w:tcBorders>
              <w:top w:val="nil" w:color="auto" w:sz="0"/>
              <w:left w:val="nil" w:color="auto" w:sz="0"/>
              <w:bottom w:val="nil" w:color="auto" w:sz="0"/>
              <w:right w:val="nil" w:color="auto" w:sz="0"/>
            </w:tcBorders>
            <w:tcMar>
              <w:top w:type="dxa" w:w="0"/>
              <w:left w:type="dxa" w:w="0"/>
              <w:bottom w:type="dxa" w:w="0"/>
              <w:right w:type="dxa" w:w="0"/>
            </w:tcMar>
            <w:vAlign w:val="top"/>
          </w:tcPr>
          <w:p>
            <w:pPr>
              <w:keepNext/>
              <w:keepLines/>
              <w:spacing w:after="8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 Alcance principal</w:t>
            </w:r>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4592"/>
            <w:gridSpan w:val="2"/>
            <w:tcBorders>
              <w:top w:val="nil" w:color="auto" w:sz="0"/>
              <w:left w:val="nil" w:color="auto" w:sz="0"/>
              <w:bottom w:val="nil" w:color="auto" w:sz="0"/>
              <w:right w:val="nil" w:color="auto" w:sz="0"/>
            </w:tcBorders>
            <w:tcMar>
              <w:top w:type="dxa" w:w="0"/>
              <w:left w:type="dxa" w:w="0"/>
              <w:bottom w:type="dxa" w:w="0"/>
              <w:right w:type="dxa" w:w="0"/>
            </w:tcMar>
            <w:vAlign w:val="top"/>
          </w:tcPr>
          <w:p>
            <w:pPr>
              <w:keepNext/>
              <w:keepLines/>
              <w:spacing w:after="8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 Planificación</w:t>
            </w:r>
          </w:p>
        </w:tc>
      </w:tr>
      <w:tr>
        <w:trPr>
          <w:cantSplit/>
        </w:trPr>
        <w:tc>
          <w:tcPr>
            <w:tcW w:type="dxa" w:w="209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Espacios</w:t>
            </w:r>
          </w:p>
        </w:tc>
        <w:tc>
          <w:tcPr>
            <w:tcW w:type="dxa" w:w="249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Salón, baño, cocina y habitaciones</w:t>
            </w:r>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64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Duración base</w:t>
            </w:r>
          </w:p>
        </w:tc>
        <w:tc>
          <w:tcPr>
            <w:tcW w:type="dxa" w:w="294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10⁠–⁠12 semanas</w:t>
            </w:r>
          </w:p>
        </w:tc>
      </w:tr>
      <w:tr>
        <w:trPr>
          <w:cantSplit/>
        </w:trPr>
        <w:tc>
          <w:tcPr>
            <w:tcW w:type="dxa" w:w="209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Superficie intervenida</w:t>
            </w:r>
          </w:p>
        </w:tc>
        <w:tc>
          <w:tcPr>
            <w:tcW w:type="dxa" w:w="249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75 m²</w:t>
            </w:r>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64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Inicio previsto</w:t>
            </w:r>
          </w:p>
        </w:tc>
        <w:tc>
          <w:tcPr>
            <w:tcW w:type="dxa" w:w="294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2 de noviembre de 2026</w:t>
            </w:r>
          </w:p>
        </w:tc>
      </w:tr>
      <w:tr>
        <w:trPr>
          <w:cantSplit/>
        </w:trPr>
        <w:tc>
          <w:tcPr>
            <w:tcW w:type="dxa" w:w="209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Tipo de inmueble</w:t>
            </w:r>
          </w:p>
        </w:tc>
        <w:tc>
          <w:tcPr>
            <w:tcW w:type="dxa" w:w="249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Apartamento</w:t>
            </w:r>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64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Responsable</w:t>
            </w:r>
          </w:p>
        </w:tc>
        <w:tc>
          <w:tcPr>
            <w:tcW w:type="dxa" w:w="294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Sebastián Vanegas · Jefe de obra</w:t>
            </w:r>
          </w:p>
        </w:tc>
      </w:tr>
      <w:tr>
        <w:trPr>
          <w:cantSplit/>
        </w:trPr>
        <w:tc>
          <w:tcPr>
            <w:tcW w:type="dxa" w:w="2098"/>
            <w:tcBorders>
              <w:top w:val="nil" w:color="auto" w:sz="0"/>
              <w:left w:val="nil" w:color="auto" w:sz="0"/>
              <w:bottom w:val="nil" w:color="auto" w:sz="0"/>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
            </w:r>
          </w:p>
        </w:tc>
        <w:tc>
          <w:tcPr>
            <w:tcW w:type="dxa" w:w="2494"/>
            <w:tcBorders>
              <w:top w:val="nil" w:color="auto" w:sz="0"/>
              <w:left w:val="nil" w:color="auto" w:sz="0"/>
              <w:bottom w:val="nil" w:color="auto" w:sz="0"/>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
            </w:r>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644"/>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w:cs="Inter" w:eastAsia="Inter" w:hAnsi="Inter"/>
                <w:color w:val="625B50"/>
                <w:kern w:val="2"/>
                <w:sz w:val="19"/>
                <w:szCs w:val="19"/>
              </w:rPr>
              <w:t xml:space="preserve">Contacto</w:t>
            </w:r>
          </w:p>
        </w:tc>
        <w:tc>
          <w:tcPr>
            <w:tcW w:type="dxa" w:w="2948"/>
            <w:tcBorders>
              <w:top w:val="nil" w:color="auto" w:sz="0"/>
              <w:left w:val="nil" w:color="auto" w:sz="0"/>
              <w:bottom w:val="single" w:color="E2DBCD" w:sz="4"/>
              <w:right w:val="nil" w:color="auto" w:sz="0"/>
            </w:tcBorders>
            <w:tcMar>
              <w:top w:type="dxa" w:w="85"/>
              <w:left w:type="dxa" w:w="0"/>
              <w:bottom w:type="dxa" w:w="85"/>
              <w:right w:type="dxa" w:w="113"/>
            </w:tcMar>
            <w:vAlign w:val="center"/>
          </w:tcPr>
          <w:p>
            <w:pPr>
              <w:keepLines/>
              <w:spacing w:after="0" w:before="0" w:line="280" w:lineRule="atLeast"/>
            </w:pPr>
            <w:r>
              <w:rPr>
                <w:rFonts w:ascii="Inter Medium" w:cs="Inter Medium" w:eastAsia="Inter Medium" w:hAnsi="Inter Medium"/>
                <w:color w:val="1C1A16"/>
                <w:kern w:val="2"/>
                <w:sz w:val="19"/>
                <w:szCs w:val="19"/>
              </w:rPr>
              <w:t xml:space="preserve">624 892 643</w:t>
            </w:r>
          </w:p>
        </w:tc>
      </w:tr>
    </w:tbl>
    <w:p>
      <w:pPr>
        <w:keepLines/>
        <w:spacing w:after="0" w:before="283"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9638"/>
      </w:tblGrid>
      <w:tr>
        <w:trPr>
          <w:cantSplit/>
        </w:trPr>
        <w:tc>
          <w:tcPr>
            <w:tcW w:type="dxa" w:w="9638"/>
            <w:tcBorders>
              <w:top w:val="nil" w:color="auto" w:sz="0"/>
              <w:left w:val="nil" w:color="auto" w:sz="0"/>
              <w:bottom w:val="nil" w:color="auto" w:sz="0"/>
              <w:right w:val="nil" w:color="auto" w:sz="0"/>
            </w:tcBorders>
            <w:shd w:fill="F3ECDD" w:color="auto" w:val="clear"/>
            <w:tcMar>
              <w:top w:type="dxa" w:w="204"/>
              <w:left w:type="dxa" w:w="283"/>
              <w:bottom w:type="dxa" w:w="204"/>
              <w:right w:type="dxa" w:w="283"/>
            </w:tcMar>
            <w:vAlign w:val="top"/>
          </w:tcPr>
          <w:p>
            <w:pPr>
              <w:keepNext/>
              <w:keepLines/>
              <w:spacing w:after="57" w:before="0" w:line="207" w:lineRule="atLeast"/>
            </w:pPr>
            <w:r>
              <w:rPr>
                <w:rFonts w:ascii="Inter SemiBold" w:cs="Inter SemiBold" w:eastAsia="Inter SemiBold" w:hAnsi="Inter SemiBold"/>
                <w:caps/>
                <w:color w:val="85692F"/>
                <w:spacing w:val="21"/>
                <w:kern w:val="2"/>
                <w:sz w:val="15"/>
                <w:szCs w:val="15"/>
              </w:rPr>
              <w:t xml:space="preserve">Siguiente paso</w:t>
            </w:r>
          </w:p>
          <w:p>
            <w:pPr>
              <w:keepLines/>
              <w:spacing w:after="0" w:before="0" w:line="288" w:lineRule="atLeast"/>
            </w:pPr>
            <w:r>
              <w:rPr>
                <w:rFonts w:ascii="Inter" w:cs="Inter" w:eastAsia="Inter" w:hAnsi="Inter"/>
                <w:color w:val="1C1A16"/>
                <w:kern w:val="2"/>
                <w:sz w:val="19"/>
                <w:szCs w:val="19"/>
              </w:rPr>
              <w:t xml:space="preserve">Para avanzar, revisamos juntos el alcance, resolvemos las dudas y confirmamos las opciones elegidas antes de formalizar la aceptación. Sebastián Vanegas le llamará para acordar esa revisión; también puede contactarle directamente en el 624 892 643 o en renovaredyb@gmail.com. Oferta válida hasta el 07/11/2026.</w:t>
            </w:r>
          </w:p>
        </w:tc>
      </w:tr>
    </w:tbl>
    <w:p>
      <w:pPr>
        <w:sectPr>
          <w:headerReference w:type="default" r:id="rId7"/>
          <w:footerReference w:type="default" r:id="rId8"/>
          <w:pgSz w:w="11906" w:h="16838" w:orient="portrait"/>
          <w:pgMar w:top="907" w:right="1134" w:bottom="1191" w:left="1134" w:header="510" w:footer="680" w:gutter="0"/>
          <w:pgNumType/>
          <w:docGrid w:linePitch="360"/>
        </w:sectPr>
      </w:pPr>
    </w:p>
    <w:p>
      <w:pPr>
        <w:keepNext/>
        <w:keepLines/>
        <w:pageBreakBefore/>
        <w:pBdr>
          <w:bottom w:val="single" w:color="BA9A58" w:sz="5" w:space="6"/>
        </w:pBdr>
        <w:spacing w:after="227" w:before="0" w:line="220" w:lineRule="atLeast"/>
      </w:pPr>
      <w:r>
        <w:rPr>
          <w:rFonts w:ascii="Inter SemiBold" w:cs="Inter SemiBold" w:eastAsia="Inter SemiBold" w:hAnsi="Inter SemiBold"/>
          <w:caps/>
          <w:color w:val="85692F"/>
          <w:spacing w:val="25"/>
          <w:kern w:val="2"/>
          <w:sz w:val="16"/>
          <w:szCs w:val="16"/>
        </w:rPr>
        <w:t xml:space="preserve">01 · Proyecto y resumen ejecutivo</w:t>
      </w:r>
    </w:p>
    <w:p>
      <w:pPr>
        <w:keepNext/>
        <w:keepLines/>
        <w:spacing w:after="255" w:before="57" w:line="506" w:lineRule="atLeast"/>
      </w:pPr>
      <w:r>
        <w:rPr>
          <w:rFonts w:ascii="EB Garamond Medium" w:cs="EB Garamond Medium" w:eastAsia="EB Garamond Medium" w:hAnsi="EB Garamond Medium"/>
          <w:color w:val="1C1A16"/>
          <w:kern w:val="2"/>
          <w:sz w:val="44"/>
          <w:szCs w:val="44"/>
        </w:rPr>
        <w:t xml:space="preserve">Alcance y coordinación</w:t>
      </w:r>
    </w:p>
    <w:p>
      <w:pPr>
        <w:keepNext/>
        <w:keepLines/>
        <w:spacing w:after="12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 Qué vamos a transformar</w:t>
      </w:r>
    </w:p>
    <w:p>
      <w:pPr>
        <w:keepLines/>
        <w:spacing w:after="136" w:before="0" w:line="288" w:lineRule="atLeast"/>
      </w:pPr>
      <w:r>
        <w:rPr>
          <w:rFonts w:ascii="Inter" w:cs="Inter" w:eastAsia="Inter" w:hAnsi="Inter"/>
          <w:color w:val="1C1A16"/>
          <w:kern w:val="2"/>
          <w:sz w:val="19"/>
          <w:szCs w:val="19"/>
        </w:rPr>
        <w:t xml:space="preserve">Realizaremos una reforma integral de la vivienda para renovar sus espacios, instalaciones y acabados. Actualizaremos la cocina y el baño, incluyendo mobiliario y equipamiento. Renovaremos la electricidad y la fontanería, nivelaremos los suelos y aplicaremos microcemento. Completaremos la transformación con alisado y pintura, sustitución de las puertas y ventanas indicadas e instalación de aire acondicionado, para lograr una vivienda más funcional y confortable.</w:t>
      </w:r>
    </w:p>
    <w:p>
      <w:pPr>
        <w:keepLines/>
        <w:spacing w:after="0" w:before="28"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649"/>
        <w:gridCol w:w="340"/>
        <w:gridCol w:w="4649"/>
      </w:tblGrid>
      <w:tr>
        <w:trPr>
          <w:cantSplit/>
        </w:trPr>
        <w:tc>
          <w:tcPr>
            <w:tcW w:type="dxa" w:w="4649"/>
            <w:tcBorders>
              <w:top w:val="single" w:color="BA9A58" w:sz="6"/>
              <w:left w:val="nil" w:color="auto" w:sz="0"/>
              <w:bottom w:val="nil" w:color="auto" w:sz="0"/>
              <w:right w:val="nil" w:color="auto" w:sz="0"/>
            </w:tcBorders>
            <w:shd w:fill="FAF8F4" w:color="auto" w:val="clear"/>
            <w:tcMar>
              <w:top w:type="dxa" w:w="170"/>
              <w:left w:type="dxa" w:w="227"/>
              <w:bottom w:type="dxa" w:w="57"/>
              <w:right w:type="dxa" w:w="227"/>
            </w:tcMar>
            <w:vAlign w:val="top"/>
          </w:tcPr>
          <w:p>
            <w:pPr>
              <w:keepNext/>
              <w:keepLines/>
              <w:spacing w:after="12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 Incluido en el proyecto base</w:t>
            </w:r>
          </w:p>
          <w:p>
            <w:pPr>
              <w:keepLines/>
              <w:spacing w:after="45" w:before="0" w:line="288" w:lineRule="atLeast"/>
            </w:pPr>
            <w:r>
              <w:rPr>
                <w:rFonts w:ascii="Inter" w:cs="Inter" w:eastAsia="Inter" w:hAnsi="Inter"/>
                <w:color w:val="1C1A16"/>
                <w:kern w:val="2"/>
                <w:sz w:val="19"/>
                <w:szCs w:val="19"/>
              </w:rPr>
              <w:t xml:space="preserve">Los trabajos, materiales y suministros detallados en la tabla del apartado </w:t>
            </w:r>
            <w:r>
              <w:rPr>
                <w:rFonts w:ascii="Inter SemiBold" w:cs="Inter SemiBold" w:eastAsia="Inter SemiBold" w:hAnsi="Inter SemiBold"/>
                <w:color w:val="1C1A16"/>
                <w:kern w:val="2"/>
                <w:sz w:val="19"/>
                <w:szCs w:val="19"/>
              </w:rPr>
              <w:t xml:space="preserve">02 · Inversión</w:t>
            </w:r>
            <w:r>
              <w:rPr>
                <w:rFonts w:ascii="Inter" w:cs="Inter" w:eastAsia="Inter" w:hAnsi="Inter"/>
                <w:color w:val="1C1A16"/>
                <w:kern w:val="2"/>
                <w:sz w:val="19"/>
                <w:szCs w:val="19"/>
              </w:rPr>
              <w:t xml:space="preserve">, según las condiciones indicadas en cada partida. Las partidas opcionales se incorporarán únicamente si el cliente las acepta expresamente.</w:t>
            </w:r>
          </w:p>
        </w:tc>
        <w:tc>
          <w:tcPr>
            <w:tcW w:type="dxa" w:w="340"/>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4649"/>
            <w:tcBorders>
              <w:top w:val="single" w:color="625B50" w:sz="6"/>
              <w:left w:val="nil" w:color="auto" w:sz="0"/>
              <w:bottom w:val="nil" w:color="auto" w:sz="0"/>
              <w:right w:val="nil" w:color="auto" w:sz="0"/>
            </w:tcBorders>
            <w:shd w:fill="FAF8F4" w:color="auto" w:val="clear"/>
            <w:tcMar>
              <w:top w:type="dxa" w:w="170"/>
              <w:left w:type="dxa" w:w="227"/>
              <w:bottom w:type="dxa" w:w="57"/>
              <w:right w:type="dxa" w:w="227"/>
            </w:tcMar>
            <w:vAlign w:val="top"/>
          </w:tcPr>
          <w:p>
            <w:pPr>
              <w:keepNext/>
              <w:keepLines/>
              <w:spacing w:after="125" w:before="0" w:line="280" w:lineRule="atLeast"/>
            </w:pPr>
            <w:r>
              <w:rPr>
                <w:rFonts w:ascii="Arial" w:cs="Arial" w:eastAsia="Arial" w:hAnsi="Arial"/>
                <w:color w:val="625B50"/>
                <w:kern w:val="2"/>
                <w:sz w:val="22"/>
                <w:szCs w:val="22"/>
              </w:rPr>
              <w:t xml:space="preserve">■</w:t>
            </w:r>
            <w:r>
              <w:rPr>
                <w:rFonts w:ascii="Inter SemiBold" w:cs="Inter SemiBold" w:eastAsia="Inter SemiBold" w:hAnsi="Inter SemiBold"/>
                <w:color w:val="1C1A16"/>
                <w:kern w:val="2"/>
                <w:sz w:val="20"/>
                <w:szCs w:val="20"/>
              </w:rPr>
              <w:t xml:space="preserve"> No incluido</w:t>
            </w:r>
          </w:p>
          <w:p>
            <w:pPr>
              <w:keepLines/>
              <w:spacing w:after="45" w:before="0" w:line="288" w:lineRule="atLeast"/>
            </w:pPr>
            <w:r>
              <w:rPr>
                <w:rFonts w:ascii="Inter" w:cs="Inter" w:eastAsia="Inter" w:hAnsi="Inter"/>
                <w:color w:val="1C1A16"/>
                <w:kern w:val="2"/>
                <w:sz w:val="19"/>
                <w:szCs w:val="19"/>
              </w:rPr>
              <w:t xml:space="preserve">Los trabajos y suministros que no estén expresamente descritos en este presupuesto. Tampoco se incluyen electrodomésticos, luminarias, licencias, tasas, proyecto técnico ni dirección facultativa, cuando estos sean necesarios.</w:t>
            </w:r>
          </w:p>
        </w:tc>
      </w:tr>
    </w:tbl>
    <w:p>
      <w:pPr>
        <w:keepNext/>
        <w:keepLines/>
        <w:spacing w:after="125" w:before="283"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 Decisiones de materiales</w:t>
      </w:r>
    </w:p>
    <w:p>
      <w:pPr>
        <w:keepLines/>
        <w:spacing w:after="136" w:before="0" w:line="288" w:lineRule="atLeast"/>
      </w:pPr>
      <w:r>
        <w:rPr>
          <w:rFonts w:ascii="Inter" w:cs="Inter" w:eastAsia="Inter" w:hAnsi="Inter"/>
          <w:color w:val="1C1A16"/>
          <w:kern w:val="2"/>
          <w:sz w:val="19"/>
          <w:szCs w:val="19"/>
        </w:rPr>
        <w:t xml:space="preserve">Los suelos, alicatados, muebles y puertas de cocina, así como las encimeras, se elegirán entre la variedad de modelos ofrecidos por la empresa dentro del presupuesto. Sebastián comunicará las fechas de elección según el avance de la obra. Si el cliente prefiere una opción cuyo precio supere el importe previsto, se comunicará la diferencia para su aprobación antes de realizar el pedido.</w:t>
      </w:r>
    </w:p>
    <w:p>
      <w:pPr>
        <w:keepNext/>
        <w:keepLines/>
        <w:spacing w:after="125" w:before="283"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 Cómo coordinamos su obra</w:t>
      </w:r>
    </w:p>
    <w:p>
      <w:pPr>
        <w:keepLines/>
        <w:spacing w:after="136" w:before="0" w:line="288" w:lineRule="atLeast"/>
      </w:pPr>
      <w:r>
        <w:rPr>
          <w:rFonts w:ascii="Inter" w:cs="Inter" w:eastAsia="Inter" w:hAnsi="Inter"/>
          <w:color w:val="1C1A16"/>
          <w:kern w:val="2"/>
          <w:sz w:val="19"/>
          <w:szCs w:val="19"/>
        </w:rPr>
        <w:t xml:space="preserve">El responsable, Sebastián Vanegas, centraliza las consultas y coordina los oficios. Compartimos un seguimiento con los avances y las decisiones pendientes. Los cambios se registran por escrito con su coste y efecto en el plazo. Al finalizar, revisamos la obra juntos y documentamos los remates y la entrega.</w:t>
      </w:r>
    </w:p>
    <w:p>
      <w:pPr>
        <w:keepLines/>
        <w:spacing w:after="136" w:before="0" w:line="288" w:lineRule="atLeast"/>
      </w:pPr>
      <w:r>
        <w:rPr>
          <w:rFonts w:ascii="Inter" w:cs="Inter" w:eastAsia="Inter" w:hAnsi="Inter"/>
          <w:color w:val="1C1A16"/>
          <w:kern w:val="2"/>
          <w:sz w:val="19"/>
          <w:szCs w:val="19"/>
        </w:rPr>
        <w:t xml:space="preserve">Seguimiento visual: fotografías periódicas del avance con un resumen de trabajos realizados y próximos pasos. Si la obra lo permite y se autoriza expresamente, puede añadirse una cámara fija con acceso restringido, sin audio y sin captar espacios ajenos a la actuación.</w:t>
      </w:r>
    </w:p>
    <w:p>
      <w:pPr>
        <w:keepLines/>
        <w:spacing w:after="0" w:before="170"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1814"/>
        <w:gridCol w:w="142"/>
        <w:gridCol w:w="1814"/>
        <w:gridCol w:w="142"/>
        <w:gridCol w:w="1814"/>
        <w:gridCol w:w="142"/>
        <w:gridCol w:w="1814"/>
        <w:gridCol w:w="142"/>
        <w:gridCol w:w="1814"/>
      </w:tblGrid>
      <w:tr>
        <w:trPr>
          <w:cantSplit/>
        </w:trPr>
        <w:tc>
          <w:tcPr>
            <w:tcW w:type="dxa" w:w="1814"/>
            <w:tcBorders>
              <w:top w:val="single" w:color="BA9A58" w:sz="6"/>
              <w:left w:val="nil" w:color="auto" w:sz="0"/>
              <w:bottom w:val="nil" w:color="auto" w:sz="0"/>
              <w:right w:val="nil" w:color="auto" w:sz="0"/>
            </w:tcBorders>
            <w:tcMar>
              <w:top w:type="dxa" w:w="85"/>
              <w:left w:type="dxa" w:w="0"/>
              <w:bottom w:type="dxa" w:w="0"/>
              <w:right w:type="dxa" w:w="0"/>
            </w:tcMar>
            <w:vAlign w:val="top"/>
          </w:tcPr>
          <w:p>
            <w:pPr>
              <w:keepLines/>
              <w:spacing w:after="0" w:before="0" w:line="200" w:lineRule="atLeast"/>
            </w:pPr>
            <w:r>
              <w:rPr>
                <w:rFonts w:ascii="Inter SemiBold" w:cs="Inter SemiBold" w:eastAsia="Inter SemiBold" w:hAnsi="Inter SemiBold"/>
                <w:color w:val="85692F"/>
                <w:spacing w:val="11"/>
                <w:kern w:val="2"/>
                <w:sz w:val="14"/>
                <w:szCs w:val="14"/>
              </w:rPr>
              <w:t xml:space="preserve">01</w:t>
            </w:r>
          </w:p>
          <w:p>
            <w:pPr>
              <w:keepLines/>
              <w:spacing w:after="34" w:before="28" w:line="240" w:lineRule="atLeast"/>
            </w:pPr>
            <w:r>
              <w:rPr>
                <w:rFonts w:ascii="Inter SemiBold" w:cs="Inter SemiBold" w:eastAsia="Inter SemiBold" w:hAnsi="Inter SemiBold"/>
                <w:color w:val="1C1A16"/>
                <w:kern w:val="2"/>
                <w:sz w:val="17"/>
                <w:szCs w:val="17"/>
              </w:rPr>
              <w:t xml:space="preserve">Revisión</w:t>
            </w:r>
          </w:p>
          <w:p>
            <w:pPr>
              <w:keepLines/>
              <w:spacing w:after="0" w:before="0" w:line="214" w:lineRule="atLeast"/>
            </w:pPr>
            <w:r>
              <w:rPr>
                <w:rFonts w:ascii="Inter" w:cs="Inter" w:eastAsia="Inter" w:hAnsi="Inter"/>
                <w:color w:val="625B50"/>
                <w:kern w:val="2"/>
                <w:sz w:val="16"/>
                <w:szCs w:val="16"/>
              </w:rPr>
              <w:t xml:space="preserve">Visita, medición y definición de necesidades</w:t>
            </w:r>
          </w:p>
        </w:tc>
        <w:tc>
          <w:tcPr>
            <w:tcW w:type="dxa" w:w="142"/>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814"/>
            <w:tcBorders>
              <w:top w:val="single" w:color="BA9A58" w:sz="6"/>
              <w:left w:val="nil" w:color="auto" w:sz="0"/>
              <w:bottom w:val="nil" w:color="auto" w:sz="0"/>
              <w:right w:val="nil" w:color="auto" w:sz="0"/>
            </w:tcBorders>
            <w:tcMar>
              <w:top w:type="dxa" w:w="85"/>
              <w:left w:type="dxa" w:w="0"/>
              <w:bottom w:type="dxa" w:w="0"/>
              <w:right w:type="dxa" w:w="0"/>
            </w:tcMar>
            <w:vAlign w:val="top"/>
          </w:tcPr>
          <w:p>
            <w:pPr>
              <w:keepLines/>
              <w:spacing w:after="0" w:before="0" w:line="200" w:lineRule="atLeast"/>
            </w:pPr>
            <w:r>
              <w:rPr>
                <w:rFonts w:ascii="Inter SemiBold" w:cs="Inter SemiBold" w:eastAsia="Inter SemiBold" w:hAnsi="Inter SemiBold"/>
                <w:color w:val="85692F"/>
                <w:spacing w:val="11"/>
                <w:kern w:val="2"/>
                <w:sz w:val="14"/>
                <w:szCs w:val="14"/>
              </w:rPr>
              <w:t xml:space="preserve">02</w:t>
            </w:r>
          </w:p>
          <w:p>
            <w:pPr>
              <w:keepLines/>
              <w:spacing w:after="34" w:before="28" w:line="240" w:lineRule="atLeast"/>
            </w:pPr>
            <w:r>
              <w:rPr>
                <w:rFonts w:ascii="Inter SemiBold" w:cs="Inter SemiBold" w:eastAsia="Inter SemiBold" w:hAnsi="Inter SemiBold"/>
                <w:color w:val="1C1A16"/>
                <w:kern w:val="2"/>
                <w:sz w:val="17"/>
                <w:szCs w:val="17"/>
              </w:rPr>
              <w:t xml:space="preserve">Planificación</w:t>
            </w:r>
          </w:p>
          <w:p>
            <w:pPr>
              <w:keepLines/>
              <w:spacing w:after="0" w:before="0" w:line="214" w:lineRule="atLeast"/>
            </w:pPr>
            <w:r>
              <w:rPr>
                <w:rFonts w:ascii="Inter" w:cs="Inter" w:eastAsia="Inter" w:hAnsi="Inter"/>
                <w:color w:val="625B50"/>
                <w:kern w:val="2"/>
                <w:sz w:val="16"/>
                <w:szCs w:val="16"/>
              </w:rPr>
              <w:t xml:space="preserve">Fases, coordinación y previsión de medios</w:t>
            </w:r>
          </w:p>
        </w:tc>
        <w:tc>
          <w:tcPr>
            <w:tcW w:type="dxa" w:w="142"/>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814"/>
            <w:tcBorders>
              <w:top w:val="single" w:color="BA9A58" w:sz="6"/>
              <w:left w:val="nil" w:color="auto" w:sz="0"/>
              <w:bottom w:val="nil" w:color="auto" w:sz="0"/>
              <w:right w:val="nil" w:color="auto" w:sz="0"/>
            </w:tcBorders>
            <w:tcMar>
              <w:top w:type="dxa" w:w="85"/>
              <w:left w:type="dxa" w:w="0"/>
              <w:bottom w:type="dxa" w:w="0"/>
              <w:right w:type="dxa" w:w="0"/>
            </w:tcMar>
            <w:vAlign w:val="top"/>
          </w:tcPr>
          <w:p>
            <w:pPr>
              <w:keepLines/>
              <w:spacing w:after="0" w:before="0" w:line="200" w:lineRule="atLeast"/>
            </w:pPr>
            <w:r>
              <w:rPr>
                <w:rFonts w:ascii="Inter SemiBold" w:cs="Inter SemiBold" w:eastAsia="Inter SemiBold" w:hAnsi="Inter SemiBold"/>
                <w:color w:val="85692F"/>
                <w:spacing w:val="11"/>
                <w:kern w:val="2"/>
                <w:sz w:val="14"/>
                <w:szCs w:val="14"/>
              </w:rPr>
              <w:t xml:space="preserve">03</w:t>
            </w:r>
          </w:p>
          <w:p>
            <w:pPr>
              <w:keepLines/>
              <w:spacing w:after="34" w:before="28" w:line="240" w:lineRule="atLeast"/>
            </w:pPr>
            <w:r>
              <w:rPr>
                <w:rFonts w:ascii="Inter SemiBold" w:cs="Inter SemiBold" w:eastAsia="Inter SemiBold" w:hAnsi="Inter SemiBold"/>
                <w:color w:val="1C1A16"/>
                <w:kern w:val="2"/>
                <w:sz w:val="17"/>
                <w:szCs w:val="17"/>
              </w:rPr>
              <w:t xml:space="preserve">Preparación</w:t>
            </w:r>
          </w:p>
          <w:p>
            <w:pPr>
              <w:keepLines/>
              <w:spacing w:after="0" w:before="0" w:line="214" w:lineRule="atLeast"/>
            </w:pPr>
            <w:r>
              <w:rPr>
                <w:rFonts w:ascii="Inter" w:cs="Inter" w:eastAsia="Inter" w:hAnsi="Inter"/>
                <w:color w:val="625B50"/>
                <w:kern w:val="2"/>
                <w:sz w:val="16"/>
                <w:szCs w:val="16"/>
              </w:rPr>
              <w:t xml:space="preserve">Protecciones y organización de la zona de trabajo</w:t>
            </w:r>
          </w:p>
        </w:tc>
        <w:tc>
          <w:tcPr>
            <w:tcW w:type="dxa" w:w="142"/>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814"/>
            <w:tcBorders>
              <w:top w:val="single" w:color="BA9A58" w:sz="6"/>
              <w:left w:val="nil" w:color="auto" w:sz="0"/>
              <w:bottom w:val="nil" w:color="auto" w:sz="0"/>
              <w:right w:val="nil" w:color="auto" w:sz="0"/>
            </w:tcBorders>
            <w:tcMar>
              <w:top w:type="dxa" w:w="85"/>
              <w:left w:type="dxa" w:w="0"/>
              <w:bottom w:type="dxa" w:w="0"/>
              <w:right w:type="dxa" w:w="0"/>
            </w:tcMar>
            <w:vAlign w:val="top"/>
          </w:tcPr>
          <w:p>
            <w:pPr>
              <w:keepLines/>
              <w:spacing w:after="0" w:before="0" w:line="200" w:lineRule="atLeast"/>
            </w:pPr>
            <w:r>
              <w:rPr>
                <w:rFonts w:ascii="Inter SemiBold" w:cs="Inter SemiBold" w:eastAsia="Inter SemiBold" w:hAnsi="Inter SemiBold"/>
                <w:color w:val="85692F"/>
                <w:spacing w:val="11"/>
                <w:kern w:val="2"/>
                <w:sz w:val="14"/>
                <w:szCs w:val="14"/>
              </w:rPr>
              <w:t xml:space="preserve">04</w:t>
            </w:r>
          </w:p>
          <w:p>
            <w:pPr>
              <w:keepLines/>
              <w:spacing w:after="34" w:before="28" w:line="240" w:lineRule="atLeast"/>
            </w:pPr>
            <w:r>
              <w:rPr>
                <w:rFonts w:ascii="Inter SemiBold" w:cs="Inter SemiBold" w:eastAsia="Inter SemiBold" w:hAnsi="Inter SemiBold"/>
                <w:color w:val="1C1A16"/>
                <w:kern w:val="2"/>
                <w:sz w:val="17"/>
                <w:szCs w:val="17"/>
              </w:rPr>
              <w:t xml:space="preserve">Ejecución</w:t>
            </w:r>
          </w:p>
          <w:p>
            <w:pPr>
              <w:keepLines/>
              <w:spacing w:after="0" w:before="0" w:line="214" w:lineRule="atLeast"/>
            </w:pPr>
            <w:r>
              <w:rPr>
                <w:rFonts w:ascii="Inter" w:cs="Inter" w:eastAsia="Inter" w:hAnsi="Inter"/>
                <w:color w:val="625B50"/>
                <w:kern w:val="2"/>
                <w:sz w:val="16"/>
                <w:szCs w:val="16"/>
              </w:rPr>
              <w:t xml:space="preserve">Desarrollo de los trabajos y seguimiento acordado</w:t>
            </w:r>
          </w:p>
        </w:tc>
        <w:tc>
          <w:tcPr>
            <w:tcW w:type="dxa" w:w="142"/>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1814"/>
            <w:tcBorders>
              <w:top w:val="single" w:color="BA9A58" w:sz="6"/>
              <w:left w:val="nil" w:color="auto" w:sz="0"/>
              <w:bottom w:val="nil" w:color="auto" w:sz="0"/>
              <w:right w:val="nil" w:color="auto" w:sz="0"/>
            </w:tcBorders>
            <w:tcMar>
              <w:top w:type="dxa" w:w="85"/>
              <w:left w:type="dxa" w:w="0"/>
              <w:bottom w:type="dxa" w:w="0"/>
              <w:right w:type="dxa" w:w="0"/>
            </w:tcMar>
            <w:vAlign w:val="top"/>
          </w:tcPr>
          <w:p>
            <w:pPr>
              <w:keepLines/>
              <w:spacing w:after="0" w:before="0" w:line="200" w:lineRule="atLeast"/>
            </w:pPr>
            <w:r>
              <w:rPr>
                <w:rFonts w:ascii="Inter SemiBold" w:cs="Inter SemiBold" w:eastAsia="Inter SemiBold" w:hAnsi="Inter SemiBold"/>
                <w:color w:val="85692F"/>
                <w:spacing w:val="11"/>
                <w:kern w:val="2"/>
                <w:sz w:val="14"/>
                <w:szCs w:val="14"/>
              </w:rPr>
              <w:t xml:space="preserve">05</w:t>
            </w:r>
          </w:p>
          <w:p>
            <w:pPr>
              <w:keepLines/>
              <w:spacing w:after="34" w:before="28" w:line="240" w:lineRule="atLeast"/>
            </w:pPr>
            <w:r>
              <w:rPr>
                <w:rFonts w:ascii="Inter SemiBold" w:cs="Inter SemiBold" w:eastAsia="Inter SemiBold" w:hAnsi="Inter SemiBold"/>
                <w:color w:val="1C1A16"/>
                <w:kern w:val="2"/>
                <w:sz w:val="17"/>
                <w:szCs w:val="17"/>
              </w:rPr>
              <w:t xml:space="preserve">Entrega</w:t>
            </w:r>
          </w:p>
          <w:p>
            <w:pPr>
              <w:keepLines/>
              <w:spacing w:after="0" w:before="0" w:line="214" w:lineRule="atLeast"/>
            </w:pPr>
            <w:r>
              <w:rPr>
                <w:rFonts w:ascii="Inter" w:cs="Inter" w:eastAsia="Inter" w:hAnsi="Inter"/>
                <w:color w:val="625B50"/>
                <w:kern w:val="2"/>
                <w:sz w:val="16"/>
                <w:szCs w:val="16"/>
              </w:rPr>
              <w:t xml:space="preserve">Revisión final, limpieza y cierre del proyecto</w:t>
            </w:r>
          </w:p>
        </w:tc>
      </w:tr>
    </w:tbl>
    <w:p>
      <w:pPr>
        <w:keepNext/>
        <w:keepLines/>
        <w:spacing w:after="125" w:before="283"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 Datos para la ejecución</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3742"/>
        <w:gridCol w:w="2268"/>
        <w:gridCol w:w="3628"/>
      </w:tblGrid>
      <w:tr>
        <w:trPr>
          <w:cantSplit/>
        </w:trPr>
        <w:tc>
          <w:tcPr>
            <w:tcW w:type="dxa" w:w="3742"/>
            <w:tcBorders>
              <w:top w:val="nil" w:color="auto" w:sz="0"/>
              <w:left w:val="nil" w:color="auto" w:sz="0"/>
              <w:bottom w:val="single" w:color="E2DBCD" w:sz="4"/>
              <w:right w:val="nil" w:color="auto" w:sz="0"/>
            </w:tcBorders>
            <w:tcMar>
              <w:top w:type="dxa" w:w="68"/>
              <w:left w:type="dxa" w:w="0"/>
              <w:bottom w:type="dxa" w:w="68"/>
              <w:right w:type="dxa" w:w="113"/>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Cliente</w:t>
            </w:r>
          </w:p>
          <w:p>
            <w:pPr>
              <w:keepLines/>
              <w:spacing w:after="0" w:before="23" w:line="280" w:lineRule="atLeast"/>
            </w:pPr>
            <w:r>
              <w:rPr>
                <w:rFonts w:ascii="Inter Medium" w:cs="Inter Medium" w:eastAsia="Inter Medium" w:hAnsi="Inter Medium"/>
                <w:color w:val="1C1A16"/>
                <w:kern w:val="2"/>
                <w:sz w:val="19"/>
                <w:szCs w:val="19"/>
              </w:rPr>
              <w:t xml:space="preserve">Cristian Nohalez García · 607 23 86 30</w:t>
            </w:r>
          </w:p>
        </w:tc>
        <w:tc>
          <w:tcPr>
            <w:tcW w:type="dxa" w:w="5896"/>
            <w:gridSpan w:val="2"/>
            <w:tcBorders>
              <w:top w:val="nil" w:color="auto" w:sz="0"/>
              <w:left w:val="nil" w:color="auto" w:sz="0"/>
              <w:bottom w:val="single" w:color="E2DBCD" w:sz="4"/>
              <w:right w:val="nil" w:color="auto" w:sz="0"/>
            </w:tcBorders>
            <w:tcMar>
              <w:top w:type="dxa" w:w="68"/>
              <w:left w:type="dxa" w:w="0"/>
              <w:bottom w:type="dxa" w:w="68"/>
              <w:right w:type="dxa" w:w="113"/>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Empresa</w:t>
            </w:r>
          </w:p>
          <w:p>
            <w:pPr>
              <w:keepLines/>
              <w:spacing w:after="0" w:before="23" w:line="280" w:lineRule="atLeast"/>
            </w:pPr>
            <w:r>
              <w:rPr>
                <w:rFonts w:ascii="Inter Medium" w:cs="Inter Medium" w:eastAsia="Inter Medium" w:hAnsi="Inter Medium"/>
                <w:color w:val="1C1A16"/>
                <w:kern w:val="2"/>
                <w:sz w:val="19"/>
                <w:szCs w:val="19"/>
              </w:rPr>
              <w:t xml:space="preserve">Renovare Design &amp; Build SL · CIF B-88775341</w:t>
            </w:r>
          </w:p>
        </w:tc>
      </w:tr>
      <w:tr>
        <w:trPr>
          <w:cantSplit/>
        </w:trPr>
        <w:tc>
          <w:tcPr>
            <w:tcW w:type="dxa" w:w="3742"/>
            <w:tcBorders>
              <w:top w:val="nil" w:color="auto" w:sz="0"/>
              <w:left w:val="nil" w:color="auto" w:sz="0"/>
              <w:bottom w:val="single" w:color="E2DBCD" w:sz="4"/>
              <w:right w:val="nil" w:color="auto" w:sz="0"/>
            </w:tcBorders>
            <w:tcMar>
              <w:top w:type="dxa" w:w="68"/>
              <w:left w:type="dxa" w:w="0"/>
              <w:bottom w:type="dxa" w:w="68"/>
              <w:right w:type="dxa" w:w="113"/>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Domicilio</w:t>
            </w:r>
          </w:p>
          <w:p>
            <w:pPr>
              <w:keepLines/>
              <w:spacing w:after="0" w:before="23" w:line="280" w:lineRule="atLeast"/>
            </w:pPr>
            <w:r>
              <w:rPr>
                <w:rFonts w:ascii="Inter Medium" w:cs="Inter Medium" w:eastAsia="Inter Medium" w:hAnsi="Inter Medium"/>
                <w:color w:val="1C1A16"/>
                <w:kern w:val="2"/>
                <w:sz w:val="19"/>
                <w:szCs w:val="19"/>
              </w:rPr>
              <w:t xml:space="preserve">Calle Creu Roja 1, bajo · Benetússer</w:t>
            </w:r>
          </w:p>
        </w:tc>
        <w:tc>
          <w:tcPr>
            <w:tcW w:type="dxa" w:w="2268"/>
            <w:tcBorders>
              <w:top w:val="nil" w:color="auto" w:sz="0"/>
              <w:left w:val="nil" w:color="auto" w:sz="0"/>
              <w:bottom w:val="single" w:color="E2DBCD" w:sz="4"/>
              <w:right w:val="nil" w:color="auto" w:sz="0"/>
            </w:tcBorders>
            <w:tcMar>
              <w:top w:type="dxa" w:w="68"/>
              <w:left w:type="dxa" w:w="0"/>
              <w:bottom w:type="dxa" w:w="68"/>
              <w:right w:type="dxa" w:w="113"/>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Contacto comercial</w:t>
            </w:r>
          </w:p>
          <w:p>
            <w:pPr>
              <w:keepLines/>
              <w:spacing w:after="0" w:before="23" w:line="280" w:lineRule="atLeast"/>
            </w:pPr>
            <w:r>
              <w:rPr>
                <w:rFonts w:ascii="Inter Medium" w:cs="Inter Medium" w:eastAsia="Inter Medium" w:hAnsi="Inter Medium"/>
                <w:color w:val="1C1A16"/>
                <w:kern w:val="2"/>
                <w:sz w:val="19"/>
                <w:szCs w:val="19"/>
              </w:rPr>
              <w:t xml:space="preserve">Sebastián Vanegas</w:t>
            </w:r>
          </w:p>
        </w:tc>
        <w:tc>
          <w:tcPr>
            <w:tcW w:type="dxa" w:w="3628"/>
            <w:tcBorders>
              <w:top w:val="nil" w:color="auto" w:sz="0"/>
              <w:left w:val="nil" w:color="auto" w:sz="0"/>
              <w:bottom w:val="single" w:color="E2DBCD" w:sz="4"/>
              <w:right w:val="nil" w:color="auto" w:sz="0"/>
            </w:tcBorders>
            <w:tcMar>
              <w:top w:type="dxa" w:w="68"/>
              <w:left w:type="dxa" w:w="0"/>
              <w:bottom w:type="dxa" w:w="68"/>
              <w:right w:type="dxa" w:w="113"/>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Acceso, horarios y ocupación del inmueble</w:t>
            </w:r>
          </w:p>
          <w:p>
            <w:pPr>
              <w:keepLines/>
              <w:spacing w:after="0" w:before="23" w:line="280" w:lineRule="atLeast"/>
            </w:pPr>
            <w:r>
              <w:rPr>
                <w:rFonts w:ascii="Inter Medium" w:cs="Inter Medium" w:eastAsia="Inter Medium" w:hAnsi="Inter Medium"/>
                <w:color w:val="1C1A16"/>
                <w:kern w:val="2"/>
                <w:sz w:val="19"/>
                <w:szCs w:val="19"/>
              </w:rPr>
              <w:t xml:space="preserve">Lunes a viernes, de 8:00 a 17:00</w:t>
            </w:r>
          </w:p>
        </w:tc>
      </w:tr>
    </w:tbl>
    <w:p>
      <w:pPr>
        <w:keepNext/>
        <w:keepLines/>
        <w:pageBreakBefore/>
        <w:pBdr>
          <w:bottom w:val="single" w:color="BA9A58" w:sz="5" w:space="6"/>
        </w:pBdr>
        <w:spacing w:after="227" w:before="0" w:line="220" w:lineRule="atLeast"/>
      </w:pPr>
      <w:r>
        <w:rPr>
          <w:rFonts w:ascii="Inter SemiBold" w:cs="Inter SemiBold" w:eastAsia="Inter SemiBold" w:hAnsi="Inter SemiBold"/>
          <w:caps/>
          <w:color w:val="85692F"/>
          <w:spacing w:val="25"/>
          <w:kern w:val="2"/>
          <w:sz w:val="16"/>
          <w:szCs w:val="16"/>
        </w:rPr>
        <w:t xml:space="preserve">02 · Inversión</w:t>
      </w:r>
    </w:p>
    <w:p>
      <w:pPr>
        <w:keepNext/>
        <w:keepLines/>
        <w:spacing w:after="340" w:before="57" w:line="506" w:lineRule="atLeast"/>
      </w:pPr>
      <w:r>
        <w:rPr>
          <w:rFonts w:ascii="EB Garamond Medium" w:cs="EB Garamond Medium" w:eastAsia="EB Garamond Medium" w:hAnsi="EB Garamond Medium"/>
          <w:color w:val="1C1A16"/>
          <w:kern w:val="2"/>
          <w:sz w:val="44"/>
          <w:szCs w:val="44"/>
        </w:rPr>
        <w:t xml:space="preserve">Resumen económico</w:t>
      </w:r>
    </w:p>
    <w:p>
      <w:pPr>
        <w:keepLines/>
        <w:spacing w:after="181" w:before="0" w:line="288" w:lineRule="atLeast"/>
      </w:pPr>
      <w:r>
        <w:rPr>
          <w:rFonts w:ascii="Inter" w:cs="Inter" w:eastAsia="Inter" w:hAnsi="Inter"/>
          <w:color w:val="1C1A16"/>
          <w:kern w:val="2"/>
          <w:sz w:val="19"/>
          <w:szCs w:val="19"/>
        </w:rPr>
        <w:t xml:space="preserve">Dónde se invierte cada euro del proyecto base, agrupado por capítulos. El detalle de cada partida figura a continuación.</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763"/>
        <w:gridCol w:w="1587"/>
        <w:gridCol w:w="1587"/>
        <w:gridCol w:w="1701"/>
      </w:tblGrid>
      <w:tr>
        <w:trPr>
          <w:cantSplit/>
          <w:tblHeader/>
        </w:trPr>
        <w:tc>
          <w:tcPr>
            <w:tcW w:type="dxa" w:w="4763"/>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Capítulo</w:t>
            </w:r>
          </w:p>
        </w:tc>
        <w:tc>
          <w:tcPr>
            <w:tcW w:type="dxa" w:w="158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Partidas</w:t>
            </w:r>
          </w:p>
        </w:tc>
        <w:tc>
          <w:tcPr>
            <w:tcW w:type="dxa" w:w="158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 del total</w:t>
            </w:r>
          </w:p>
        </w:tc>
        <w:tc>
          <w:tcPr>
            <w:tcW w:type="dxa" w:w="1701"/>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Sin IVA</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Suelos: nivelación y microcemento</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2⁠–⁠3</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24,2 %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11.211 €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Electricidad, fontanería y ayudas de albañilería</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4⁠–⁠6</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21,2 %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9.845 €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Paredes y techos: gotelé, alisado y pintura</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10⁠–⁠13</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16,9 %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7.854 €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Baño completo</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7⁠–⁠8, 18⁠–⁠24</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12,7 %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5.897 €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Cocina: mobiliario y encimera</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16⁠–⁠17</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11,0 %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5.114 €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Puertas y ventanas</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9, 14⁠–⁠15</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6,3 %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2.902 €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Climatización</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25</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5,6 %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2.577 €</w:t>
            </w:r>
          </w:p>
        </w:tc>
      </w:tr>
      <w:tr>
        <w:trPr>
          <w:cantSplit/>
        </w:trPr>
        <w:tc>
          <w:tcPr>
            <w:tcW w:type="dxa" w:w="4763"/>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Medium" w:cs="Inter Medium" w:eastAsia="Inter Medium" w:hAnsi="Inter Medium"/>
                <w:color w:val="1C1A16"/>
                <w:kern w:val="2"/>
                <w:sz w:val="18"/>
                <w:szCs w:val="18"/>
              </w:rPr>
              <w:t xml:space="preserve">Protección, limpieza y residuos</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pPr>
            <w:r>
              <w:rPr>
                <w:rFonts w:ascii="Inter" w:cs="Inter" w:eastAsia="Inter" w:hAnsi="Inter"/>
                <w:color w:val="625B50"/>
                <w:kern w:val="2"/>
                <w:sz w:val="17"/>
                <w:szCs w:val="17"/>
              </w:rPr>
              <w:t xml:space="preserve">1, 26</w:t>
            </w:r>
          </w:p>
        </w:tc>
        <w:tc>
          <w:tcPr>
            <w:tcW w:type="dxa" w:w="1587"/>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w:cs="Inter" w:eastAsia="Inter" w:hAnsi="Inter"/>
                <w:color w:val="625B50"/>
                <w:kern w:val="2"/>
                <w:sz w:val="18"/>
                <w:szCs w:val="18"/>
              </w:rPr>
              <w:t xml:space="preserve">2,1 %</w:t>
            </w:r>
          </w:p>
        </w:tc>
        <w:tc>
          <w:tcPr>
            <w:tcW w:type="dxa" w:w="1701"/>
            <w:tcBorders>
              <w:top w:val="nil" w:color="auto" w:sz="0"/>
              <w:left w:val="nil" w:color="auto" w:sz="0"/>
              <w:bottom w:val="single" w:color="E2DBCD" w:sz="4"/>
              <w:right w:val="nil" w:color="auto" w:sz="0"/>
            </w:tcBorders>
            <w:tcMar>
              <w:top w:type="dxa" w:w="99"/>
              <w:left w:type="dxa" w:w="136"/>
              <w:bottom w:type="dxa" w:w="99"/>
              <w:right w:type="dxa" w:w="136"/>
            </w:tcMar>
            <w:vAlign w:val="center"/>
          </w:tcPr>
          <w:p>
            <w:pPr>
              <w:keepLines/>
              <w:spacing w:after="0" w:before="0" w:line="252" w:lineRule="atLeast"/>
              <w:jc w:val="right"/>
            </w:pPr>
            <w:r>
              <w:rPr>
                <w:rFonts w:ascii="Inter SemiBold" w:cs="Inter SemiBold" w:eastAsia="Inter SemiBold" w:hAnsi="Inter SemiBold"/>
                <w:color w:val="1C1A16"/>
                <w:kern w:val="2"/>
                <w:sz w:val="18"/>
                <w:szCs w:val="18"/>
              </w:rPr>
              <w:t xml:space="preserve">959 €</w:t>
            </w:r>
          </w:p>
        </w:tc>
      </w:tr>
      <w:tr>
        <w:trPr>
          <w:cantSplit/>
        </w:trPr>
        <w:tc>
          <w:tcPr>
            <w:tcW w:type="dxa" w:w="4763"/>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pPr>
            <w:r>
              <w:rPr>
                <w:rFonts w:ascii="Inter" w:cs="Inter" w:eastAsia="Inter" w:hAnsi="Inter"/>
                <w:b/>
                <w:bCs/>
                <w:color w:val="1C1A16"/>
                <w:kern w:val="2"/>
                <w:sz w:val="18"/>
                <w:szCs w:val="18"/>
              </w:rPr>
              <w:t xml:space="preserve">Total proyecto base</w:t>
            </w:r>
          </w:p>
        </w:tc>
        <w:tc>
          <w:tcPr>
            <w:tcW w:type="dxa" w:w="1587"/>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
            </w:r>
          </w:p>
        </w:tc>
        <w:tc>
          <w:tcPr>
            <w:tcW w:type="dxa" w:w="1587"/>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jc w:val="right"/>
            </w:pPr>
            <w:r>
              <w:rPr>
                <w:rFonts w:ascii="Inter" w:cs="Inter" w:eastAsia="Inter" w:hAnsi="Inter"/>
                <w:b/>
                <w:bCs/>
                <w:color w:val="1C1A16"/>
                <w:kern w:val="2"/>
                <w:sz w:val="18"/>
                <w:szCs w:val="18"/>
              </w:rPr>
              <w:t xml:space="preserve">100 %</w:t>
            </w:r>
          </w:p>
        </w:tc>
        <w:tc>
          <w:tcPr>
            <w:tcW w:type="dxa" w:w="1701"/>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jc w:val="right"/>
            </w:pPr>
            <w:r>
              <w:rPr>
                <w:rFonts w:ascii="Inter" w:cs="Inter" w:eastAsia="Inter" w:hAnsi="Inter"/>
                <w:b/>
                <w:bCs/>
                <w:color w:val="1C1A16"/>
                <w:kern w:val="2"/>
                <w:sz w:val="18"/>
                <w:szCs w:val="18"/>
              </w:rPr>
              <w:t xml:space="preserve">46.359 €</w:t>
            </w:r>
          </w:p>
        </w:tc>
      </w:tr>
    </w:tbl>
    <w:p>
      <w:pPr>
        <w:keepNext/>
        <w:keepLines/>
        <w:spacing w:after="85" w:before="397" w:line="207" w:lineRule="atLeast"/>
      </w:pPr>
      <w:r>
        <w:rPr>
          <w:rFonts w:ascii="Inter SemiBold" w:cs="Inter SemiBold" w:eastAsia="Inter SemiBold" w:hAnsi="Inter SemiBold"/>
          <w:caps/>
          <w:color w:val="85692F"/>
          <w:spacing w:val="18"/>
          <w:kern w:val="2"/>
          <w:sz w:val="15"/>
          <w:szCs w:val="15"/>
        </w:rPr>
        <w:t xml:space="preserve">Peso de cada capítulo sobre el total</w:t>
      </w:r>
    </w:p>
    <w:p>
      <w:pPr>
        <w:keepLines/>
        <w:spacing w:after="0" w:before="0" w:line="240" w:lineRule="atLeast"/>
      </w:pPr>
      <w:r>
        <w:drawing>
          <wp:inline distT="0" distB="0" distL="0" distR="0">
            <wp:extent cx="6120000" cy="2304000"/>
            <wp:effectExtent l="0" t="0" r="0" b="0"/>
            <wp:docPr id="9001" name="Gráfico de capítulos" descr="Peso de cada capítulo sobre el total del proyecto bas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p>
      <w:pPr>
        <w:keepLines/>
        <w:spacing w:after="0" w:before="397" w:line="20" w:lineRule="exact"/>
      </w:pPr>
      <w:r>
        <w:rPr>
          <w:rFonts w:ascii="Inter" w:cs="Inter" w:eastAsia="Inter" w:hAnsi="Inter"/>
          <w:color w:val="1C1A16"/>
          <w:kern w:val="2"/>
          <w:sz w:val="4"/>
          <w:szCs w:val="4"/>
        </w:rPr>
        <w:t xml:space="preserve"/>
      </w:r>
    </w:p>
    <w:tbl>
      <w:tblPr>
        <w:tblW w:type="dxa" w:w="9639"/>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5386"/>
        <w:gridCol w:w="454"/>
        <w:gridCol w:w="3799"/>
      </w:tblGrid>
      <w:tr>
        <w:trPr>
          <w:cantSplit/>
        </w:trPr>
        <w:tc>
          <w:tcPr>
            <w:tcW w:type="dxa" w:w="5386"/>
            <w:tcBorders>
              <w:top w:val="nil" w:color="auto" w:sz="0"/>
              <w:left w:val="nil" w:color="auto" w:sz="0"/>
              <w:bottom w:val="nil" w:color="auto" w:sz="0"/>
              <w:right w:val="nil" w:color="auto" w:sz="0"/>
            </w:tcBorders>
            <w:tcMar>
              <w:top w:type="dxa" w:w="0"/>
              <w:left w:type="dxa" w:w="0"/>
              <w:bottom w:type="dxa" w:w="0"/>
              <w:right w:type="dxa" w:w="0"/>
            </w:tcMar>
            <w:vAlign w:val="top"/>
          </w:tcPr>
          <w:tbl>
            <w:tblPr>
              <w:tblW w:type="dxa" w:w="5386"/>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3572"/>
              <w:gridCol w:w="1814"/>
            </w:tblGrid>
            <w:tr>
              <w:trPr>
                <w:cantSplit/>
                <w:tblHeader/>
              </w:trPr>
              <w:tc>
                <w:tcPr>
                  <w:tcW w:type="dxa" w:w="3572"/>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Concepto</w:t>
                  </w:r>
                </w:p>
              </w:tc>
              <w:tc>
                <w:tcPr>
                  <w:tcW w:type="dxa" w:w="1814"/>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Importe</w:t>
                  </w:r>
                </w:p>
              </w:tc>
            </w:tr>
            <w:tr>
              <w:trPr>
                <w:cantSplit/>
              </w:trPr>
              <w:tc>
                <w:tcPr>
                  <w:tcW w:type="dxa" w:w="3572"/>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Subtotal proyecto base</w:t>
                  </w:r>
                </w:p>
              </w:tc>
              <w:tc>
                <w:tcPr>
                  <w:tcW w:type="dxa" w:w="181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46.359,00 €</w:t>
                  </w:r>
                </w:p>
              </w:tc>
            </w:tr>
            <w:tr>
              <w:trPr>
                <w:cantSplit/>
              </w:trPr>
              <w:tc>
                <w:tcPr>
                  <w:tcW w:type="dxa" w:w="3572"/>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IVA 10 %</w:t>
                  </w:r>
                </w:p>
              </w:tc>
              <w:tc>
                <w:tcPr>
                  <w:tcW w:type="dxa" w:w="181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4.635,90 €</w:t>
                  </w:r>
                </w:p>
              </w:tc>
            </w:tr>
            <w:tr>
              <w:trPr>
                <w:cantSplit/>
              </w:trPr>
              <w:tc>
                <w:tcPr>
                  <w:tcW w:type="dxa" w:w="3572"/>
                  <w:tcBorders>
                    <w:top w:val="nil" w:color="auto" w:sz="0"/>
                    <w:left w:val="nil" w:color="auto" w:sz="0"/>
                    <w:bottom w:val="single" w:color="BA9A58" w:sz="10"/>
                    <w:right w:val="nil" w:color="auto" w:sz="0"/>
                  </w:tcBorders>
                  <w:shd w:fill="F3ECDD" w:color="auto" w:val="clear"/>
                  <w:tcMar>
                    <w:top w:type="dxa" w:w="159"/>
                    <w:left w:type="dxa" w:w="136"/>
                    <w:bottom w:type="dxa" w:w="159"/>
                    <w:right w:type="dxa" w:w="136"/>
                  </w:tcMar>
                  <w:vAlign w:val="top"/>
                </w:tcPr>
                <w:p>
                  <w:pPr>
                    <w:keepLines/>
                    <w:spacing w:after="0" w:before="0" w:line="252" w:lineRule="atLeast"/>
                  </w:pPr>
                  <w:r>
                    <w:rPr>
                      <w:rFonts w:ascii="Inter" w:cs="Inter" w:eastAsia="Inter" w:hAnsi="Inter"/>
                      <w:b/>
                      <w:bCs/>
                      <w:color w:val="1C1A16"/>
                      <w:kern w:val="2"/>
                      <w:sz w:val="20"/>
                      <w:szCs w:val="20"/>
                    </w:rPr>
                    <w:t xml:space="preserve">Total proyecto con IVA</w:t>
                  </w:r>
                </w:p>
              </w:tc>
              <w:tc>
                <w:tcPr>
                  <w:tcW w:type="dxa" w:w="1814"/>
                  <w:tcBorders>
                    <w:top w:val="nil" w:color="auto" w:sz="0"/>
                    <w:left w:val="nil" w:color="auto" w:sz="0"/>
                    <w:bottom w:val="single" w:color="BA9A58" w:sz="10"/>
                    <w:right w:val="nil" w:color="auto" w:sz="0"/>
                  </w:tcBorders>
                  <w:shd w:fill="F3ECDD" w:color="auto" w:val="clear"/>
                  <w:tcMar>
                    <w:top w:type="dxa" w:w="159"/>
                    <w:left w:type="dxa" w:w="136"/>
                    <w:bottom w:type="dxa" w:w="159"/>
                    <w:right w:type="dxa" w:w="136"/>
                  </w:tcMar>
                  <w:vAlign w:val="top"/>
                </w:tcPr>
                <w:p>
                  <w:pPr>
                    <w:keepLines/>
                    <w:spacing w:after="0" w:before="0" w:line="252" w:lineRule="atLeast"/>
                    <w:jc w:val="right"/>
                  </w:pPr>
                  <w:r>
                    <w:rPr>
                      <w:rFonts w:ascii="Inter" w:cs="Inter" w:eastAsia="Inter" w:hAnsi="Inter"/>
                      <w:b/>
                      <w:bCs/>
                      <w:color w:val="1C1A16"/>
                      <w:kern w:val="2"/>
                      <w:sz w:val="20"/>
                      <w:szCs w:val="20"/>
                    </w:rPr>
                    <w:t xml:space="preserve">50.994,90 €</w:t>
                  </w:r>
                </w:p>
              </w:tc>
            </w:tr>
          </w:tbl>
          <w:p/>
        </w:tc>
        <w:tc>
          <w:tcPr>
            <w:tcW w:type="dxa" w:w="45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799"/>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147" w:before="57" w:line="264" w:lineRule="atLeast"/>
            </w:pPr>
            <w:r>
              <w:rPr>
                <w:rFonts w:ascii="Inter" w:cs="Inter" w:eastAsia="Inter" w:hAnsi="Inter"/>
                <w:color w:val="625B50"/>
                <w:kern w:val="2"/>
                <w:sz w:val="18"/>
                <w:szCs w:val="18"/>
              </w:rPr>
              <w:t xml:space="preserve">El total es cerrado para las mediciones, trabajos y calidades definidos en esta oferta. Cualquier modificación se tramita conforme al procedimiento de cambios de la página de condiciones.</w:t>
            </w:r>
          </w:p>
          <w:p>
            <w:pPr>
              <w:keepLines/>
              <w:spacing w:after="0" w:before="0" w:line="264" w:lineRule="atLeast"/>
            </w:pPr>
            <w:r>
              <w:rPr>
                <w:rFonts w:ascii="Inter" w:cs="Inter" w:eastAsia="Inter" w:hAnsi="Inter"/>
                <w:color w:val="625B50"/>
                <w:kern w:val="2"/>
                <w:sz w:val="18"/>
                <w:szCs w:val="18"/>
              </w:rPr>
              <w:t xml:space="preserve">Opción no incluida: puerta principal, 1.186 € sin IVA (partida 27).</w:t>
            </w:r>
          </w:p>
        </w:tc>
      </w:tr>
    </w:tbl>
    <w:p>
      <w:pPr>
        <w:keepNext/>
        <w:keepLines/>
        <w:pageBreakBefore/>
        <w:spacing w:after="12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 Detalle de partidas</w:t>
      </w:r>
    </w:p>
    <w:p>
      <w:pPr>
        <w:keepLines/>
        <w:spacing w:after="181" w:before="0" w:line="288" w:lineRule="atLeast"/>
      </w:pPr>
      <w:r>
        <w:rPr>
          <w:rFonts w:ascii="Inter" w:cs="Inter" w:eastAsia="Inter" w:hAnsi="Inter"/>
          <w:color w:val="1C1A16"/>
          <w:kern w:val="2"/>
          <w:sz w:val="19"/>
          <w:szCs w:val="19"/>
        </w:rPr>
        <w:t xml:space="preserve">Las partidas siguientes corresponden exclusivamente al proyecto base.</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567"/>
        <w:gridCol w:w="5045"/>
        <w:gridCol w:w="964"/>
        <w:gridCol w:w="1191"/>
        <w:gridCol w:w="1871"/>
      </w:tblGrid>
      <w:tr>
        <w:trPr>
          <w:cantSplit/>
          <w:tblHeader/>
        </w:trPr>
        <w:tc>
          <w:tcPr>
            <w:tcW w:type="dxa" w:w="56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center"/>
            </w:pPr>
            <w:r>
              <w:rPr>
                <w:rFonts w:ascii="Inter SemiBold" w:cs="Inter SemiBold" w:eastAsia="Inter SemiBold" w:hAnsi="Inter SemiBold"/>
                <w:caps/>
                <w:color w:val="FFFFFF"/>
                <w:spacing w:val="10"/>
                <w:kern w:val="2"/>
                <w:sz w:val="14"/>
                <w:szCs w:val="14"/>
              </w:rPr>
              <w:t xml:space="preserve">Nº</w:t>
            </w:r>
          </w:p>
        </w:tc>
        <w:tc>
          <w:tcPr>
            <w:tcW w:type="dxa" w:w="5045"/>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Descripción</w:t>
            </w:r>
          </w:p>
        </w:tc>
        <w:tc>
          <w:tcPr>
            <w:tcW w:type="dxa" w:w="964"/>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center"/>
            </w:pPr>
            <w:r>
              <w:rPr>
                <w:rFonts w:ascii="Inter SemiBold" w:cs="Inter SemiBold" w:eastAsia="Inter SemiBold" w:hAnsi="Inter SemiBold"/>
                <w:caps/>
                <w:color w:val="FFFFFF"/>
                <w:spacing w:val="10"/>
                <w:kern w:val="2"/>
                <w:sz w:val="14"/>
                <w:szCs w:val="14"/>
              </w:rPr>
              <w:t xml:space="preserve">Unidad</w:t>
            </w:r>
          </w:p>
        </w:tc>
        <w:tc>
          <w:tcPr>
            <w:tcW w:type="dxa" w:w="1191"/>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center"/>
            </w:pPr>
            <w:r>
              <w:rPr>
                <w:rFonts w:ascii="Inter SemiBold" w:cs="Inter SemiBold" w:eastAsia="Inter SemiBold" w:hAnsi="Inter SemiBold"/>
                <w:caps/>
                <w:color w:val="FFFFFF"/>
                <w:spacing w:val="10"/>
                <w:kern w:val="2"/>
                <w:sz w:val="14"/>
                <w:szCs w:val="14"/>
              </w:rPr>
              <w:t xml:space="preserve">Cantidad</w:t>
            </w:r>
          </w:p>
        </w:tc>
        <w:tc>
          <w:tcPr>
            <w:tcW w:type="dxa" w:w="1871"/>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Importe sin IVA</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Protección de zonas de paso, medios auxiliares y limpieza final</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464 €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Nivelación de suelo con mortero de cemento y arena, maestreado y fratasado, con espesor aproximado de 3⁠–⁠5 cm</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75</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3.479 €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3</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aplicación de microcemento en suelo, con preparación, capas y sellado protector</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75</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7.732 €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4</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Renovación completa de electricidad: cuadro, protecciones, circuitos, mecanismos, puntos y certificado. Aprovechamiento del cable aportado por el propietario</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5.773 €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5</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Renovación completa de fontanería y desagües de cocina y baño, conexiones y pruebas</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3.196 €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6</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Ayudas de albañilería para instalaciones: apertura y cierre de rozas, pasos y remates</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876 €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7</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Construcción de pared de baño de 1,70 × 2,70 m. Ladrillos, arena y cemento: aprovechamiento de materiales que posee el propietario</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5</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309 €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8</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Prolongación de paredes de baño de 1,30 × 2,70 m y formación de hueco para puerta. Aprovechamiento de materiales que posee el propietario</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8</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495 €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9</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e instalación de puerta nueva de baño y habitación de visita, marco, tapajuntas y herrajes</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2</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845 €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10</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Retirada de gotelé de paredes y techo. Superficie estimada</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196</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2.425 €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11</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Enlucido y alisado de paredes. Superficie estimada</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226</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2.563 €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12</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Pintura de paredes y techo, preparación y dos manos. Superficie estimada</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203</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2.093 €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13</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Preparación y pintura de techos de toda la casa, incluido el baño de 5 m². Superficie estimada</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75</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773 €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14</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Sustitución de balconera de PVC de 1,10 × 2,10 m y fijo superior de 0,30 m, dos hojas batientes, una oscilobatiente si es viable, doble vidrio, instalación y remates</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1.591 €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15</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Sustitución de ventana de baño de PVC oscilobatiente de 0,50 × 1,20 m, doble vidrio traslúcido, instalación y remates</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466 €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16</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montaje de muebles de cocina de 5,0 m, incluyendo dos torres dentro de esa longitud, muebles altos y bajos según distribución, herrajes y remates. </w:t>
            </w:r>
            <w:r>
              <w:rPr>
                <w:rFonts w:ascii="Inter SemiBold" w:cs="Inter SemiBold" w:eastAsia="Inter SemiBold" w:hAnsi="Inter SemiBold"/>
                <w:color w:val="1C1A16"/>
                <w:kern w:val="2"/>
                <w:sz w:val="18"/>
                <w:szCs w:val="18"/>
              </w:rPr>
              <w:t xml:space="preserve">No incluyen electrodomésticos. Sí incluyen</w:t>
            </w:r>
            <w:r>
              <w:rPr>
                <w:rFonts w:ascii="Inter" w:cs="Inter" w:eastAsia="Inter" w:hAnsi="Inter"/>
                <w:color w:val="1C1A16"/>
                <w:kern w:val="2"/>
                <w:sz w:val="18"/>
                <w:szCs w:val="18"/>
              </w:rPr>
              <w:t xml:space="preserve"> el fregadero sencillo de 1 seno y el grifo monomando básico</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3.567 €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17</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Encimera de cuarzo o Silestone: medición, fabricación, huecos y colocación. Tramo útil estimado hasta 3,5 m, descontadas las torres</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1.547 €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18</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colocación de enchapado cerámico en paredes del baño, adhesivo, rejuntado y remates. Superficie estimada</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29</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2.093 €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19</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colocación de pladur para techo en baño</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m²</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7</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649 €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20</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montaje de mueble de baño de 80 cm, lavabo, espejo y grifo</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670 €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21</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colocación de inodoro compacto</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361 €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22</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colocación de plato de ducha de resina antideslizante, con válvula. Medida estimada hasta 130 × 80 cm</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526 €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23</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y montaje de grifería y conjunto de ducha monomando</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227 €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24</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e instalación de mampara de ducha con vidrio de seguridad</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567 €</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25</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Suministro e instalación de equipo minisplit inverter completo, potencia estimada de 3,5 kW, hasta 3 m de línea por equipo, soportes, desagüe y puesta en marcha. Marca Johnson</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2</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2.577 €</w:t>
            </w:r>
          </w:p>
        </w:tc>
      </w:tr>
      <w:tr>
        <w:trPr>
          <w:cantSplit/>
        </w:trPr>
        <w:tc>
          <w:tcPr>
            <w:tcW w:type="dxa" w:w="567"/>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26</w:t>
            </w:r>
          </w:p>
        </w:tc>
        <w:tc>
          <w:tcPr>
            <w:tcW w:type="dxa" w:w="5045"/>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Carga, retirada y gestión de residuos generados por los trabajos contratados</w:t>
            </w:r>
          </w:p>
        </w:tc>
        <w:tc>
          <w:tcPr>
            <w:tcW w:type="dxa" w:w="964"/>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ud.</w:t>
            </w:r>
          </w:p>
        </w:tc>
        <w:tc>
          <w:tcPr>
            <w:tcW w:type="dxa" w:w="119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1C1A16"/>
                <w:kern w:val="2"/>
                <w:sz w:val="18"/>
                <w:szCs w:val="18"/>
              </w:rPr>
              <w:t xml:space="preserve">1</w:t>
            </w:r>
          </w:p>
        </w:tc>
        <w:tc>
          <w:tcPr>
            <w:tcW w:type="dxa" w:w="1871"/>
            <w:tcBorders>
              <w:top w:val="nil" w:color="auto" w:sz="0"/>
              <w:left w:val="nil" w:color="auto" w:sz="0"/>
              <w:bottom w:val="single" w:color="E2DBCD" w:sz="4"/>
              <w:right w:val="nil" w:color="auto" w:sz="0"/>
            </w:tcBorders>
            <w:shd w:fill="FAF8F4" w:color="auto" w:val="clear"/>
            <w:tcMar>
              <w:top w:type="dxa" w:w="99"/>
              <w:left w:type="dxa" w:w="136"/>
              <w:bottom w:type="dxa" w:w="99"/>
              <w:right w:type="dxa" w:w="136"/>
            </w:tcMar>
            <w:vAlign w:val="top"/>
          </w:tcPr>
          <w:p>
            <w:pPr>
              <w:keepLines/>
              <w:spacing w:after="0" w:before="0" w:line="252" w:lineRule="atLeast"/>
              <w:jc w:val="right"/>
            </w:pPr>
            <w:r>
              <w:rPr>
                <w:rFonts w:ascii="Inter Medium" w:cs="Inter Medium" w:eastAsia="Inter Medium" w:hAnsi="Inter Medium"/>
                <w:color w:val="1C1A16"/>
                <w:kern w:val="2"/>
                <w:sz w:val="18"/>
                <w:szCs w:val="18"/>
              </w:rPr>
              <w:t xml:space="preserve">495 €</w:t>
            </w:r>
          </w:p>
        </w:tc>
      </w:tr>
      <w:tr>
        <w:trPr>
          <w:cantSplit/>
        </w:trPr>
        <w:tc>
          <w:tcPr>
            <w:tcW w:type="dxa" w:w="567"/>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
            </w:r>
          </w:p>
        </w:tc>
        <w:tc>
          <w:tcPr>
            <w:tcW w:type="dxa" w:w="7200"/>
            <w:gridSpan w:val="3"/>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jc w:val="right"/>
            </w:pPr>
            <w:r>
              <w:rPr>
                <w:rFonts w:ascii="Inter SemiBold" w:cs="Inter SemiBold" w:eastAsia="Inter SemiBold" w:hAnsi="Inter SemiBold"/>
                <w:color w:val="1C1A16"/>
                <w:kern w:val="2"/>
                <w:sz w:val="19"/>
                <w:szCs w:val="19"/>
              </w:rPr>
              <w:t xml:space="preserve">Total proyecto base sin IVA</w:t>
            </w:r>
          </w:p>
        </w:tc>
        <w:tc>
          <w:tcPr>
            <w:tcW w:type="dxa" w:w="1871"/>
            <w:tcBorders>
              <w:top w:val="single" w:color="BA9A58" w:sz="10"/>
              <w:left w:val="nil" w:color="auto" w:sz="0"/>
              <w:bottom w:val="nil" w:color="auto" w:sz="0"/>
              <w:right w:val="nil" w:color="auto" w:sz="0"/>
            </w:tcBorders>
            <w:tcMar>
              <w:top w:type="dxa" w:w="147"/>
              <w:left w:type="dxa" w:w="136"/>
              <w:bottom w:type="dxa" w:w="99"/>
              <w:right w:type="dxa" w:w="136"/>
            </w:tcMar>
            <w:vAlign w:val="top"/>
          </w:tcPr>
          <w:p>
            <w:pPr>
              <w:keepLines/>
              <w:spacing w:after="0" w:before="0" w:line="252" w:lineRule="atLeast"/>
              <w:jc w:val="right"/>
            </w:pPr>
            <w:r>
              <w:rPr>
                <w:rFonts w:ascii="Inter SemiBold" w:cs="Inter SemiBold" w:eastAsia="Inter SemiBold" w:hAnsi="Inter SemiBold"/>
                <w:color w:val="1C1A16"/>
                <w:kern w:val="2"/>
                <w:sz w:val="19"/>
                <w:szCs w:val="19"/>
              </w:rPr>
              <w:t xml:space="preserve">46.359,00 €</w:t>
            </w:r>
          </w:p>
        </w:tc>
      </w:tr>
      <w:tr>
        <w:trPr>
          <w:cantSplit/>
        </w:trPr>
        <w:tc>
          <w:tcPr>
            <w:tcW w:type="dxa" w:w="567"/>
            <w:tcBorders>
              <w:top w:val="nil" w:color="auto" w:sz="0"/>
              <w:left w:val="nil" w:color="auto" w:sz="0"/>
              <w:bottom w:val="single" w:color="BA9A58" w:sz="5"/>
              <w:right w:val="nil" w:color="auto" w:sz="0"/>
            </w:tcBorders>
            <w:tcMar>
              <w:top w:type="dxa" w:w="283"/>
              <w:left w:type="dxa" w:w="136"/>
              <w:bottom w:type="dxa" w:w="57"/>
              <w:right w:type="dxa" w:w="136"/>
            </w:tcMar>
            <w:vAlign w:val="top"/>
          </w:tcPr>
          <w:p>
            <w:pPr>
              <w:keepLines/>
              <w:spacing w:after="0" w:before="0" w:line="252" w:lineRule="atLeast"/>
            </w:pPr>
            <w:r>
              <w:rPr>
                <w:rFonts w:ascii="Inter" w:cs="Inter" w:eastAsia="Inter" w:hAnsi="Inter"/>
                <w:color w:val="1C1A16"/>
                <w:kern w:val="2"/>
                <w:sz w:val="18"/>
                <w:szCs w:val="18"/>
              </w:rPr>
              <w:t xml:space="preserve"/>
            </w:r>
          </w:p>
        </w:tc>
        <w:tc>
          <w:tcPr>
            <w:tcW w:type="dxa" w:w="9071"/>
            <w:gridSpan w:val="4"/>
            <w:tcBorders>
              <w:top w:val="nil" w:color="auto" w:sz="0"/>
              <w:left w:val="nil" w:color="auto" w:sz="0"/>
              <w:bottom w:val="single" w:color="BA9A58" w:sz="5"/>
              <w:right w:val="nil" w:color="auto" w:sz="0"/>
            </w:tcBorders>
            <w:tcMar>
              <w:top w:type="dxa" w:w="283"/>
              <w:left w:type="dxa" w:w="136"/>
              <w:bottom w:type="dxa" w:w="57"/>
              <w:right w:type="dxa" w:w="136"/>
            </w:tcMar>
            <w:vAlign w:val="top"/>
          </w:tcPr>
          <w:p>
            <w:pPr>
              <w:keepLines/>
              <w:spacing w:after="0" w:before="0" w:line="252" w:lineRule="atLeast"/>
            </w:pPr>
            <w:r>
              <w:rPr>
                <w:rFonts w:ascii="Inter SemiBold" w:cs="Inter SemiBold" w:eastAsia="Inter SemiBold" w:hAnsi="Inter SemiBold"/>
                <w:caps/>
                <w:color w:val="85692F"/>
                <w:spacing w:val="14"/>
                <w:kern w:val="2"/>
                <w:sz w:val="14"/>
                <w:szCs w:val="14"/>
              </w:rPr>
              <w:t xml:space="preserve">Opción no incluida en el total · requiere aceptación expresa</w:t>
            </w:r>
          </w:p>
        </w:tc>
      </w:tr>
      <w:tr>
        <w:trPr>
          <w:cantSplit/>
        </w:trPr>
        <w:tc>
          <w:tcPr>
            <w:tcW w:type="dxa" w:w="567"/>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SemiBold" w:cs="Inter SemiBold" w:eastAsia="Inter SemiBold" w:hAnsi="Inter SemiBold"/>
                <w:color w:val="85692F"/>
                <w:kern w:val="2"/>
                <w:sz w:val="18"/>
                <w:szCs w:val="18"/>
              </w:rPr>
              <w:t xml:space="preserve">27</w:t>
            </w:r>
          </w:p>
        </w:tc>
        <w:tc>
          <w:tcPr>
            <w:tcW w:type="dxa" w:w="5045"/>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SemiBold" w:cs="Inter SemiBold" w:eastAsia="Inter SemiBold" w:hAnsi="Inter SemiBold"/>
                <w:color w:val="85692F"/>
                <w:spacing w:val="13"/>
                <w:kern w:val="2"/>
                <w:sz w:val="13"/>
                <w:szCs w:val="13"/>
                <w:bdr w:val="single" w:color="BA9A58" w:sz="5"/>
              </w:rPr>
              <w:t xml:space="preserve"> OPCIONAL </w:t>
            </w:r>
            <w:r>
              <w:rPr>
                <w:rFonts w:ascii="Inter" w:cs="Inter" w:eastAsia="Inter" w:hAnsi="Inter"/>
                <w:color w:val="625B50"/>
                <w:kern w:val="2"/>
                <w:sz w:val="18"/>
                <w:szCs w:val="18"/>
              </w:rPr>
              <w:t xml:space="preserve"> Puerta principal: suministro e instalación</w:t>
            </w:r>
          </w:p>
        </w:tc>
        <w:tc>
          <w:tcPr>
            <w:tcW w:type="dxa" w:w="96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625B50"/>
                <w:kern w:val="2"/>
                <w:sz w:val="18"/>
                <w:szCs w:val="18"/>
              </w:rPr>
              <w:t xml:space="preserve">ud.</w:t>
            </w:r>
          </w:p>
        </w:tc>
        <w:tc>
          <w:tcPr>
            <w:tcW w:type="dxa" w:w="119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center"/>
            </w:pPr>
            <w:r>
              <w:rPr>
                <w:rFonts w:ascii="Inter" w:cs="Inter" w:eastAsia="Inter" w:hAnsi="Inter"/>
                <w:color w:val="625B50"/>
                <w:kern w:val="2"/>
                <w:sz w:val="18"/>
                <w:szCs w:val="18"/>
              </w:rPr>
              <w:t xml:space="preserve">1</w:t>
            </w:r>
          </w:p>
        </w:tc>
        <w:tc>
          <w:tcPr>
            <w:tcW w:type="dxa" w:w="1871"/>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w:cs="Inter" w:eastAsia="Inter" w:hAnsi="Inter"/>
                <w:color w:val="625B50"/>
                <w:kern w:val="2"/>
                <w:sz w:val="18"/>
                <w:szCs w:val="18"/>
              </w:rPr>
              <w:t xml:space="preserve">1.186 €</w:t>
            </w:r>
          </w:p>
        </w:tc>
      </w:tr>
    </w:tbl>
    <w:p>
      <w:pPr>
        <w:keepNext/>
        <w:keepLines/>
        <w:pageBreakBefore/>
        <w:pBdr>
          <w:bottom w:val="single" w:color="BA9A58" w:sz="5" w:space="6"/>
        </w:pBdr>
        <w:spacing w:after="227" w:before="0" w:line="220" w:lineRule="atLeast"/>
      </w:pPr>
      <w:r>
        <w:rPr>
          <w:rFonts w:ascii="Inter SemiBold" w:cs="Inter SemiBold" w:eastAsia="Inter SemiBold" w:hAnsi="Inter SemiBold"/>
          <w:caps/>
          <w:color w:val="85692F"/>
          <w:spacing w:val="25"/>
          <w:kern w:val="2"/>
          <w:sz w:val="16"/>
          <w:szCs w:val="16"/>
        </w:rPr>
        <w:t xml:space="preserve">03 · Plazos</w:t>
      </w:r>
    </w:p>
    <w:p>
      <w:pPr>
        <w:keepNext/>
        <w:keepLines/>
        <w:spacing w:after="340" w:before="57" w:line="506" w:lineRule="atLeast"/>
      </w:pPr>
      <w:r>
        <w:rPr>
          <w:rFonts w:ascii="EB Garamond Medium" w:cs="EB Garamond Medium" w:eastAsia="EB Garamond Medium" w:hAnsi="EB Garamond Medium"/>
          <w:color w:val="1C1A16"/>
          <w:kern w:val="2"/>
          <w:sz w:val="44"/>
          <w:szCs w:val="44"/>
        </w:rPr>
        <w:t xml:space="preserve">Planificación y forma de pago</w:t>
      </w:r>
    </w:p>
    <w:p>
      <w:pPr>
        <w:keepLines/>
        <w:spacing w:after="181" w:before="0" w:line="288" w:lineRule="atLeast"/>
      </w:pPr>
      <w:r>
        <w:rPr>
          <w:rFonts w:ascii="Inter" w:cs="Inter" w:eastAsia="Inter" w:hAnsi="Inter"/>
          <w:color w:val="1C1A16"/>
          <w:kern w:val="2"/>
          <w:sz w:val="19"/>
          <w:szCs w:val="19"/>
        </w:rPr>
        <w:t xml:space="preserve">Inicio previsto el 2 de noviembre de 2026. Duración del proyecto base: 10⁠–⁠12 semanas. El cronograma detallado y la fecha de terminación se confirman antes del inicio, con materiales, accesos y decisiones de cliente coordinados.</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082"/>
        <w:gridCol w:w="1247"/>
        <w:gridCol w:w="359"/>
        <w:gridCol w:w="359"/>
        <w:gridCol w:w="359"/>
        <w:gridCol w:w="359"/>
        <w:gridCol w:w="359"/>
        <w:gridCol w:w="359"/>
        <w:gridCol w:w="359"/>
        <w:gridCol w:w="359"/>
        <w:gridCol w:w="359"/>
        <w:gridCol w:w="359"/>
        <w:gridCol w:w="359"/>
        <w:gridCol w:w="360"/>
      </w:tblGrid>
      <w:tr>
        <w:trPr>
          <w:cantSplit/>
          <w:tblHeader/>
        </w:trPr>
        <w:tc>
          <w:tcPr>
            <w:tcW w:type="dxa" w:w="4082"/>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Fase y resultado previsto</w:t>
            </w:r>
          </w:p>
        </w:tc>
        <w:tc>
          <w:tcPr>
            <w:tcW w:type="dxa" w:w="124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Semanas</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1</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2</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3</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4</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5</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6</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7</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8</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9</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10</w:t>
            </w:r>
          </w:p>
        </w:tc>
        <w:tc>
          <w:tcPr>
            <w:tcW w:type="dxa" w:w="359"/>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11</w:t>
            </w:r>
          </w:p>
        </w:tc>
        <w:tc>
          <w:tcPr>
            <w:tcW w:type="dxa" w:w="360"/>
            <w:tcBorders>
              <w:top w:val="nil" w:color="auto" w:sz="0"/>
              <w:left w:val="nil" w:color="auto" w:sz="0"/>
              <w:bottom w:val="nil" w:color="auto" w:sz="0"/>
              <w:right w:val="nil" w:color="auto" w:sz="0"/>
            </w:tcBorders>
            <w:shd w:fill="1C1A16" w:color="auto" w:val="clear"/>
            <w:tcMar>
              <w:top w:type="dxa" w:w="125"/>
              <w:left w:type="dxa" w:w="0"/>
              <w:bottom w:type="dxa" w:w="125"/>
              <w:right w:type="dxa" w:w="0"/>
            </w:tcMar>
            <w:vAlign w:val="bottom"/>
          </w:tcPr>
          <w:p>
            <w:pPr>
              <w:keepLines/>
              <w:spacing w:after="0" w:before="0" w:line="200" w:lineRule="atLeast"/>
              <w:jc w:val="center"/>
            </w:pPr>
            <w:r>
              <w:rPr>
                <w:rFonts w:ascii="Inter SemiBold" w:cs="Inter SemiBold" w:eastAsia="Inter SemiBold" w:hAnsi="Inter SemiBold"/>
                <w:color w:val="FFFFFF"/>
                <w:kern w:val="2"/>
                <w:sz w:val="14"/>
                <w:szCs w:val="14"/>
              </w:rPr>
              <w:t xml:space="preserve">12</w:t>
            </w:r>
          </w:p>
        </w:tc>
      </w:tr>
      <w:tr>
        <w:trPr>
          <w:cantSplit/>
          <w:trHeight w:val="170" w:hRule="atLeast"/>
        </w:trPr>
        <w:tc>
          <w:tcPr>
            <w:tcW w:type="dxa" w:w="4082"/>
            <w:vMerge w:val="restart"/>
            <w:tcBorders>
              <w:top w:val="nil" w:color="auto" w:sz="0"/>
              <w:left w:val="nil" w:color="auto" w:sz="0"/>
              <w:bottom w:val="single" w:color="E2DBCD" w:sz="4"/>
              <w:right w:val="nil" w:color="auto" w:sz="0"/>
            </w:tcBorders>
            <w:tcMar>
              <w:top w:type="dxa" w:w="113"/>
              <w:left w:type="dxa" w:w="113"/>
              <w:bottom w:type="dxa" w:w="113"/>
              <w:right w:type="dxa" w:w="113"/>
            </w:tcMar>
            <w:vAlign w:val="center"/>
          </w:tcPr>
          <w:p>
            <w:pPr>
              <w:keepLines/>
              <w:spacing w:after="0" w:before="0" w:line="240" w:lineRule="atLeast"/>
            </w:pPr>
            <w:r>
              <w:rPr>
                <w:rFonts w:ascii="Inter SemiBold" w:cs="Inter SemiBold" w:eastAsia="Inter SemiBold" w:hAnsi="Inter SemiBold"/>
                <w:color w:val="1C1A16"/>
                <w:kern w:val="2"/>
                <w:sz w:val="17"/>
                <w:szCs w:val="17"/>
              </w:rPr>
              <w:t xml:space="preserve">Preparación y demoliciones</w:t>
            </w:r>
          </w:p>
          <w:p>
            <w:pPr>
              <w:keepLines/>
              <w:spacing w:after="0" w:before="0" w:line="230" w:lineRule="atLeast"/>
            </w:pPr>
            <w:r>
              <w:rPr>
                <w:rFonts w:ascii="Inter" w:cs="Inter" w:eastAsia="Inter" w:hAnsi="Inter"/>
                <w:color w:val="625B50"/>
                <w:kern w:val="2"/>
                <w:sz w:val="16"/>
                <w:szCs w:val="16"/>
              </w:rPr>
              <w:t xml:space="preserve">Áreas despejadas y retirada de escombros</w:t>
            </w:r>
          </w:p>
        </w:tc>
        <w:tc>
          <w:tcPr>
            <w:tcW w:type="dxa" w:w="1247"/>
            <w:vMerge w:val="restart"/>
            <w:tcBorders>
              <w:top w:val="nil" w:color="auto" w:sz="0"/>
              <w:left w:val="nil" w:color="auto" w:sz="0"/>
              <w:bottom w:val="single" w:color="E2DBCD" w:sz="4"/>
              <w:right w:val="nil" w:color="auto" w:sz="0"/>
            </w:tcBorders>
            <w:tcMar>
              <w:top w:type="dxa" w:w="0"/>
              <w:left w:type="dxa" w:w="113"/>
              <w:bottom w:type="dxa" w:w="0"/>
              <w:right w:type="dxa" w:w="0"/>
            </w:tcMar>
            <w:vAlign w:val="center"/>
          </w:tcPr>
          <w:p>
            <w:pPr>
              <w:keepLines/>
              <w:spacing w:after="0" w:before="0" w:line="240" w:lineRule="atLeast"/>
            </w:pPr>
            <w:r>
              <w:rPr>
                <w:rFonts w:ascii="Inter SemiBold" w:cs="Inter SemiBold" w:eastAsia="Inter SemiBold" w:hAnsi="Inter SemiBold"/>
                <w:color w:val="85692F"/>
                <w:kern w:val="2"/>
                <w:sz w:val="17"/>
                <w:szCs w:val="17"/>
              </w:rPr>
              <w:t xml:space="preserve">Sem. 1⁠–⁠2</w:t>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93" w:hRule="exac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tcW w:type="dxa" w:w="4082"/>
            <w:vMerge w:val="restart"/>
            <w:tcBorders>
              <w:top w:val="nil" w:color="auto" w:sz="0"/>
              <w:left w:val="nil" w:color="auto" w:sz="0"/>
              <w:bottom w:val="single" w:color="E2DBCD" w:sz="4"/>
              <w:right w:val="nil" w:color="auto" w:sz="0"/>
            </w:tcBorders>
            <w:tcMar>
              <w:top w:type="dxa" w:w="113"/>
              <w:left w:type="dxa" w:w="113"/>
              <w:bottom w:type="dxa" w:w="113"/>
              <w:right w:type="dxa" w:w="113"/>
            </w:tcMar>
            <w:vAlign w:val="center"/>
          </w:tcPr>
          <w:p>
            <w:pPr>
              <w:keepLines/>
              <w:spacing w:after="0" w:before="0" w:line="240" w:lineRule="atLeast"/>
            </w:pPr>
            <w:r>
              <w:rPr>
                <w:rFonts w:ascii="Inter SemiBold" w:cs="Inter SemiBold" w:eastAsia="Inter SemiBold" w:hAnsi="Inter SemiBold"/>
                <w:color w:val="1C1A16"/>
                <w:kern w:val="2"/>
                <w:sz w:val="17"/>
                <w:szCs w:val="17"/>
              </w:rPr>
              <w:t xml:space="preserve">Albañilería e instalaciones</w:t>
            </w:r>
          </w:p>
          <w:p>
            <w:pPr>
              <w:keepLines/>
              <w:spacing w:after="0" w:before="0" w:line="230" w:lineRule="atLeast"/>
            </w:pPr>
            <w:r>
              <w:rPr>
                <w:rFonts w:ascii="Inter" w:cs="Inter" w:eastAsia="Inter" w:hAnsi="Inter"/>
                <w:color w:val="625B50"/>
                <w:kern w:val="2"/>
                <w:sz w:val="16"/>
                <w:szCs w:val="16"/>
              </w:rPr>
              <w:t xml:space="preserve">Redistribución y preinstalaciones verificadas</w:t>
            </w:r>
          </w:p>
        </w:tc>
        <w:tc>
          <w:tcPr>
            <w:tcW w:type="dxa" w:w="1247"/>
            <w:vMerge w:val="restart"/>
            <w:tcBorders>
              <w:top w:val="nil" w:color="auto" w:sz="0"/>
              <w:left w:val="nil" w:color="auto" w:sz="0"/>
              <w:bottom w:val="single" w:color="E2DBCD" w:sz="4"/>
              <w:right w:val="nil" w:color="auto" w:sz="0"/>
            </w:tcBorders>
            <w:tcMar>
              <w:top w:type="dxa" w:w="0"/>
              <w:left w:type="dxa" w:w="113"/>
              <w:bottom w:type="dxa" w:w="0"/>
              <w:right w:type="dxa" w:w="0"/>
            </w:tcMar>
            <w:vAlign w:val="center"/>
          </w:tcPr>
          <w:p>
            <w:pPr>
              <w:keepLines/>
              <w:spacing w:after="0" w:before="0" w:line="240" w:lineRule="atLeast"/>
            </w:pPr>
            <w:r>
              <w:rPr>
                <w:rFonts w:ascii="Inter SemiBold" w:cs="Inter SemiBold" w:eastAsia="Inter SemiBold" w:hAnsi="Inter SemiBold"/>
                <w:color w:val="85692F"/>
                <w:kern w:val="2"/>
                <w:sz w:val="17"/>
                <w:szCs w:val="17"/>
              </w:rPr>
              <w:t xml:space="preserve">Sem. 3⁠–⁠6</w:t>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93" w:hRule="exac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tcW w:type="dxa" w:w="4082"/>
            <w:vMerge w:val="restart"/>
            <w:tcBorders>
              <w:top w:val="nil" w:color="auto" w:sz="0"/>
              <w:left w:val="nil" w:color="auto" w:sz="0"/>
              <w:bottom w:val="single" w:color="E2DBCD" w:sz="4"/>
              <w:right w:val="nil" w:color="auto" w:sz="0"/>
            </w:tcBorders>
            <w:tcMar>
              <w:top w:type="dxa" w:w="113"/>
              <w:left w:type="dxa" w:w="113"/>
              <w:bottom w:type="dxa" w:w="113"/>
              <w:right w:type="dxa" w:w="113"/>
            </w:tcMar>
            <w:vAlign w:val="center"/>
          </w:tcPr>
          <w:p>
            <w:pPr>
              <w:keepLines/>
              <w:spacing w:after="0" w:before="0" w:line="240" w:lineRule="atLeast"/>
            </w:pPr>
            <w:r>
              <w:rPr>
                <w:rFonts w:ascii="Inter SemiBold" w:cs="Inter SemiBold" w:eastAsia="Inter SemiBold" w:hAnsi="Inter SemiBold"/>
                <w:color w:val="1C1A16"/>
                <w:kern w:val="2"/>
                <w:sz w:val="17"/>
                <w:szCs w:val="17"/>
              </w:rPr>
              <w:t xml:space="preserve">Revestimientos y acabados</w:t>
            </w:r>
          </w:p>
          <w:p>
            <w:pPr>
              <w:keepLines/>
              <w:spacing w:after="0" w:before="0" w:line="230" w:lineRule="atLeast"/>
            </w:pPr>
            <w:r>
              <w:rPr>
                <w:rFonts w:ascii="Inter" w:cs="Inter" w:eastAsia="Inter" w:hAnsi="Inter"/>
                <w:color w:val="625B50"/>
                <w:kern w:val="2"/>
                <w:sz w:val="16"/>
                <w:szCs w:val="16"/>
              </w:rPr>
              <w:t xml:space="preserve">Pavimentos, alicatados, techos y pintura</w:t>
            </w:r>
          </w:p>
        </w:tc>
        <w:tc>
          <w:tcPr>
            <w:tcW w:type="dxa" w:w="1247"/>
            <w:vMerge w:val="restart"/>
            <w:tcBorders>
              <w:top w:val="nil" w:color="auto" w:sz="0"/>
              <w:left w:val="nil" w:color="auto" w:sz="0"/>
              <w:bottom w:val="single" w:color="E2DBCD" w:sz="4"/>
              <w:right w:val="nil" w:color="auto" w:sz="0"/>
            </w:tcBorders>
            <w:tcMar>
              <w:top w:type="dxa" w:w="0"/>
              <w:left w:type="dxa" w:w="113"/>
              <w:bottom w:type="dxa" w:w="0"/>
              <w:right w:type="dxa" w:w="0"/>
            </w:tcMar>
            <w:vAlign w:val="center"/>
          </w:tcPr>
          <w:p>
            <w:pPr>
              <w:keepLines/>
              <w:spacing w:after="0" w:before="0" w:line="240" w:lineRule="atLeast"/>
            </w:pPr>
            <w:r>
              <w:rPr>
                <w:rFonts w:ascii="Inter SemiBold" w:cs="Inter SemiBold" w:eastAsia="Inter SemiBold" w:hAnsi="Inter SemiBold"/>
                <w:color w:val="85692F"/>
                <w:kern w:val="2"/>
                <w:sz w:val="17"/>
                <w:szCs w:val="17"/>
              </w:rPr>
              <w:t xml:space="preserve">Sem. 7⁠–⁠9</w:t>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93" w:hRule="exac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tcW w:type="dxa" w:w="4082"/>
            <w:vMerge w:val="restart"/>
            <w:tcBorders>
              <w:top w:val="nil" w:color="auto" w:sz="0"/>
              <w:left w:val="nil" w:color="auto" w:sz="0"/>
              <w:bottom w:val="single" w:color="E2DBCD" w:sz="4"/>
              <w:right w:val="nil" w:color="auto" w:sz="0"/>
            </w:tcBorders>
            <w:tcMar>
              <w:top w:type="dxa" w:w="113"/>
              <w:left w:type="dxa" w:w="113"/>
              <w:bottom w:type="dxa" w:w="113"/>
              <w:right w:type="dxa" w:w="113"/>
            </w:tcMar>
            <w:vAlign w:val="center"/>
          </w:tcPr>
          <w:p>
            <w:pPr>
              <w:keepLines/>
              <w:spacing w:after="0" w:before="0" w:line="240" w:lineRule="atLeast"/>
            </w:pPr>
            <w:r>
              <w:rPr>
                <w:rFonts w:ascii="Inter SemiBold" w:cs="Inter SemiBold" w:eastAsia="Inter SemiBold" w:hAnsi="Inter SemiBold"/>
                <w:color w:val="1C1A16"/>
                <w:kern w:val="2"/>
                <w:sz w:val="17"/>
                <w:szCs w:val="17"/>
              </w:rPr>
              <w:t xml:space="preserve">Montajes y entrega</w:t>
            </w:r>
          </w:p>
          <w:p>
            <w:pPr>
              <w:keepLines/>
              <w:spacing w:after="0" w:before="0" w:line="230" w:lineRule="atLeast"/>
            </w:pPr>
            <w:r>
              <w:rPr>
                <w:rFonts w:ascii="Inter" w:cs="Inter" w:eastAsia="Inter" w:hAnsi="Inter"/>
                <w:color w:val="625B50"/>
                <w:kern w:val="2"/>
                <w:sz w:val="16"/>
                <w:szCs w:val="16"/>
              </w:rPr>
              <w:t xml:space="preserve">Equipamiento, pruebas, remates y limpieza</w:t>
            </w:r>
          </w:p>
        </w:tc>
        <w:tc>
          <w:tcPr>
            <w:tcW w:type="dxa" w:w="1247"/>
            <w:vMerge w:val="restart"/>
            <w:tcBorders>
              <w:top w:val="nil" w:color="auto" w:sz="0"/>
              <w:left w:val="nil" w:color="auto" w:sz="0"/>
              <w:bottom w:val="single" w:color="E2DBCD" w:sz="4"/>
              <w:right w:val="nil" w:color="auto" w:sz="0"/>
            </w:tcBorders>
            <w:tcMar>
              <w:top w:type="dxa" w:w="0"/>
              <w:left w:type="dxa" w:w="113"/>
              <w:bottom w:type="dxa" w:w="0"/>
              <w:right w:type="dxa" w:w="0"/>
            </w:tcMar>
            <w:vAlign w:val="center"/>
          </w:tcPr>
          <w:p>
            <w:pPr>
              <w:keepLines/>
              <w:spacing w:after="0" w:before="0" w:line="240" w:lineRule="atLeast"/>
            </w:pPr>
            <w:r>
              <w:rPr>
                <w:rFonts w:ascii="Inter SemiBold" w:cs="Inter SemiBold" w:eastAsia="Inter SemiBold" w:hAnsi="Inter SemiBold"/>
                <w:color w:val="85692F"/>
                <w:kern w:val="2"/>
                <w:sz w:val="17"/>
                <w:szCs w:val="17"/>
              </w:rPr>
              <w:t xml:space="preserve">Sem. 10⁠–⁠12</w:t>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93" w:hRule="exac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nil" w:color="auto" w:sz="0"/>
              <w:bottom w:val="nil" w:color="auto" w:sz="0"/>
              <w:right w:val="nil" w:color="auto" w:sz="0"/>
            </w:tcBorders>
            <w:shd w:fill="A3843F" w:color="auto" w:val="clear"/>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r>
        <w:trPr>
          <w:cantSplit/>
          <w:trHeight w:val="170" w:hRule="atLeast"/>
        </w:trPr>
        <w:tc>
          <w:tcPr>
            <w:vMerge w:val="continue"/>
            <w:tcBorders>
              <w:top w:val="nil" w:color="auto" w:sz="0"/>
              <w:left w:val="nil" w:color="auto" w:sz="0"/>
              <w:bottom w:val="single" w:color="E2DBCD" w:sz="4"/>
              <w:right w:val="nil" w:color="auto" w:sz="0"/>
            </w:tcBorders>
          </w:tcPr>
          <w:p/>
        </w:tc>
        <w:tc>
          <w:tcPr>
            <w:vMerge w:val="continue"/>
            <w:tcBorders>
              <w:top w:val="nil" w:color="auto" w:sz="0"/>
              <w:left w:val="nil" w:color="auto" w:sz="0"/>
              <w:bottom w:val="single" w:color="E2DBCD" w:sz="4"/>
              <w:right w:val="nil" w:color="auto" w:sz="0"/>
            </w:tcBorders>
          </w:tcP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59"/>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360"/>
            <w:tcBorders>
              <w:top w:val="nil" w:color="auto" w:sz="0"/>
              <w:left w:val="single" w:color="EFEAE0" w:sz="4"/>
              <w:bottom w:val="single" w:color="E2DBCD" w:sz="4"/>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r>
    </w:tbl>
    <w:p>
      <w:pPr>
        <w:keepNext/>
        <w:keepLines/>
        <w:spacing w:after="125" w:before="454"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 Pagos vinculados a la obra</w:t>
      </w:r>
    </w:p>
    <w:p>
      <w:pPr>
        <w:keepLines/>
        <w:spacing w:after="181" w:before="0" w:line="288" w:lineRule="atLeast"/>
      </w:pPr>
      <w:r>
        <w:rPr>
          <w:rFonts w:ascii="Inter" w:cs="Inter" w:eastAsia="Inter" w:hAnsi="Inter"/>
          <w:color w:val="1C1A16"/>
          <w:kern w:val="2"/>
          <w:sz w:val="19"/>
          <w:szCs w:val="19"/>
        </w:rPr>
        <w:t xml:space="preserve">Los porcentajes se calculan sobre el total contratado con IVA, incluidos únicamente los opcionales aceptados. La reserva se descuenta del precio y forma parte del 40 % previo al inicio.</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1928"/>
        <w:gridCol w:w="3288"/>
        <w:gridCol w:w="737"/>
        <w:gridCol w:w="1247"/>
        <w:gridCol w:w="1134"/>
        <w:gridCol w:w="1304"/>
      </w:tblGrid>
      <w:tr>
        <w:trPr>
          <w:cantSplit/>
          <w:tblHeader/>
        </w:trPr>
        <w:tc>
          <w:tcPr>
            <w:tcW w:type="dxa" w:w="1928"/>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Pago</w:t>
            </w:r>
          </w:p>
        </w:tc>
        <w:tc>
          <w:tcPr>
            <w:tcW w:type="dxa" w:w="3288"/>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Hito verificable</w:t>
            </w:r>
          </w:p>
        </w:tc>
        <w:tc>
          <w:tcPr>
            <w:tcW w:type="dxa" w:w="73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center"/>
            </w:pPr>
            <w:r>
              <w:rPr>
                <w:rFonts w:ascii="Inter SemiBold" w:cs="Inter SemiBold" w:eastAsia="Inter SemiBold" w:hAnsi="Inter SemiBold"/>
                <w:caps/>
                <w:color w:val="FFFFFF"/>
                <w:spacing w:val="10"/>
                <w:kern w:val="2"/>
                <w:sz w:val="14"/>
                <w:szCs w:val="14"/>
              </w:rPr>
              <w:t xml:space="preserve">%</w:t>
            </w:r>
          </w:p>
        </w:tc>
        <w:tc>
          <w:tcPr>
            <w:tcW w:type="dxa" w:w="1247"/>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Base</w:t>
            </w:r>
          </w:p>
        </w:tc>
        <w:tc>
          <w:tcPr>
            <w:tcW w:type="dxa" w:w="1134"/>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IVA 10 %</w:t>
            </w:r>
          </w:p>
        </w:tc>
        <w:tc>
          <w:tcPr>
            <w:tcW w:type="dxa" w:w="1304"/>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Total</w:t>
            </w:r>
          </w:p>
        </w:tc>
      </w:tr>
      <w:tr>
        <w:trPr>
          <w:cantSplit/>
        </w:trPr>
        <w:tc>
          <w:tcPr>
            <w:tcW w:type="dxa" w:w="192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85692F"/>
                <w:kern w:val="2"/>
                <w:sz w:val="17"/>
                <w:szCs w:val="17"/>
              </w:rPr>
              <w:t xml:space="preserve">1</w:t>
            </w:r>
            <w:r>
              <w:rPr>
                <w:rFonts w:ascii="Inter SemiBold" w:cs="Inter SemiBold" w:eastAsia="Inter SemiBold" w:hAnsi="Inter SemiBold"/>
                <w:color w:val="1C1A16"/>
                <w:kern w:val="2"/>
                <w:sz w:val="17"/>
                <w:szCs w:val="17"/>
              </w:rPr>
              <w:t xml:space="preserve"> Reserva</w:t>
            </w:r>
          </w:p>
        </w:tc>
        <w:tc>
          <w:tcPr>
            <w:tcW w:type="dxa" w:w="328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Firma y confirmación de fecha</w:t>
            </w:r>
          </w:p>
        </w:tc>
        <w:tc>
          <w:tcPr>
            <w:tcW w:type="dxa" w:w="73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center"/>
            </w:pPr>
            <w:r>
              <w:rPr>
                <w:rFonts w:ascii="Inter" w:cs="Inter" w:eastAsia="Inter" w:hAnsi="Inter"/>
                <w:color w:val="1C1A16"/>
                <w:kern w:val="2"/>
                <w:sz w:val="17"/>
                <w:szCs w:val="17"/>
              </w:rPr>
              <w:t xml:space="preserve">20 %</w:t>
            </w:r>
          </w:p>
        </w:tc>
        <w:tc>
          <w:tcPr>
            <w:tcW w:type="dxa" w:w="124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9.271,80 €</w:t>
            </w:r>
          </w:p>
        </w:tc>
        <w:tc>
          <w:tcPr>
            <w:tcW w:type="dxa" w:w="113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927,18 €</w:t>
            </w:r>
          </w:p>
        </w:tc>
        <w:tc>
          <w:tcPr>
            <w:tcW w:type="dxa" w:w="130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10.198,98 €</w:t>
            </w:r>
          </w:p>
        </w:tc>
      </w:tr>
      <w:tr>
        <w:trPr>
          <w:cantSplit/>
        </w:trPr>
        <w:tc>
          <w:tcPr>
            <w:tcW w:type="dxa" w:w="192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85692F"/>
                <w:kern w:val="2"/>
                <w:sz w:val="17"/>
                <w:szCs w:val="17"/>
              </w:rPr>
              <w:t xml:space="preserve">2</w:t>
            </w:r>
            <w:r>
              <w:rPr>
                <w:rFonts w:ascii="Inter SemiBold" w:cs="Inter SemiBold" w:eastAsia="Inter SemiBold" w:hAnsi="Inter SemiBold"/>
                <w:color w:val="1C1A16"/>
                <w:kern w:val="2"/>
                <w:sz w:val="17"/>
                <w:szCs w:val="17"/>
              </w:rPr>
              <w:t xml:space="preserve"> Inicio</w:t>
            </w:r>
          </w:p>
        </w:tc>
        <w:tc>
          <w:tcPr>
            <w:tcW w:type="dxa" w:w="328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Como máximo el día anterior al inicio</w:t>
            </w:r>
          </w:p>
        </w:tc>
        <w:tc>
          <w:tcPr>
            <w:tcW w:type="dxa" w:w="73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center"/>
            </w:pPr>
            <w:r>
              <w:rPr>
                <w:rFonts w:ascii="Inter" w:cs="Inter" w:eastAsia="Inter" w:hAnsi="Inter"/>
                <w:color w:val="1C1A16"/>
                <w:kern w:val="2"/>
                <w:sz w:val="17"/>
                <w:szCs w:val="17"/>
              </w:rPr>
              <w:t xml:space="preserve">20 %</w:t>
            </w:r>
          </w:p>
        </w:tc>
        <w:tc>
          <w:tcPr>
            <w:tcW w:type="dxa" w:w="124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9.271,80 €</w:t>
            </w:r>
          </w:p>
        </w:tc>
        <w:tc>
          <w:tcPr>
            <w:tcW w:type="dxa" w:w="113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927,18 €</w:t>
            </w:r>
          </w:p>
        </w:tc>
        <w:tc>
          <w:tcPr>
            <w:tcW w:type="dxa" w:w="130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10.198,98 €</w:t>
            </w:r>
          </w:p>
        </w:tc>
      </w:tr>
      <w:tr>
        <w:trPr>
          <w:cantSplit/>
        </w:trPr>
        <w:tc>
          <w:tcPr>
            <w:tcW w:type="dxa" w:w="192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85692F"/>
                <w:kern w:val="2"/>
                <w:sz w:val="17"/>
                <w:szCs w:val="17"/>
              </w:rPr>
              <w:t xml:space="preserve">3</w:t>
            </w:r>
            <w:r>
              <w:rPr>
                <w:rFonts w:ascii="Inter SemiBold" w:cs="Inter SemiBold" w:eastAsia="Inter SemiBold" w:hAnsi="Inter SemiBold"/>
                <w:color w:val="1C1A16"/>
                <w:kern w:val="2"/>
                <w:sz w:val="17"/>
                <w:szCs w:val="17"/>
              </w:rPr>
              <w:t xml:space="preserve"> Primer avance</w:t>
            </w:r>
          </w:p>
        </w:tc>
        <w:tc>
          <w:tcPr>
            <w:tcW w:type="dxa" w:w="328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Demoliciones, tabiquería y preinstalaciones de electricidad y fontanería</w:t>
            </w:r>
          </w:p>
        </w:tc>
        <w:tc>
          <w:tcPr>
            <w:tcW w:type="dxa" w:w="73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center"/>
            </w:pPr>
            <w:r>
              <w:rPr>
                <w:rFonts w:ascii="Inter" w:cs="Inter" w:eastAsia="Inter" w:hAnsi="Inter"/>
                <w:color w:val="1C1A16"/>
                <w:kern w:val="2"/>
                <w:sz w:val="17"/>
                <w:szCs w:val="17"/>
              </w:rPr>
              <w:t xml:space="preserve">20 %</w:t>
            </w:r>
          </w:p>
        </w:tc>
        <w:tc>
          <w:tcPr>
            <w:tcW w:type="dxa" w:w="124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9.271,80 €</w:t>
            </w:r>
          </w:p>
        </w:tc>
        <w:tc>
          <w:tcPr>
            <w:tcW w:type="dxa" w:w="113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927,18 €</w:t>
            </w:r>
          </w:p>
        </w:tc>
        <w:tc>
          <w:tcPr>
            <w:tcW w:type="dxa" w:w="130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10.198,98 €</w:t>
            </w:r>
          </w:p>
        </w:tc>
      </w:tr>
      <w:tr>
        <w:trPr>
          <w:cantSplit/>
        </w:trPr>
        <w:tc>
          <w:tcPr>
            <w:tcW w:type="dxa" w:w="192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85692F"/>
                <w:kern w:val="2"/>
                <w:sz w:val="17"/>
                <w:szCs w:val="17"/>
              </w:rPr>
              <w:t xml:space="preserve">4</w:t>
            </w:r>
            <w:r>
              <w:rPr>
                <w:rFonts w:ascii="Inter SemiBold" w:cs="Inter SemiBold" w:eastAsia="Inter SemiBold" w:hAnsi="Inter SemiBold"/>
                <w:color w:val="1C1A16"/>
                <w:kern w:val="2"/>
                <w:sz w:val="17"/>
                <w:szCs w:val="17"/>
              </w:rPr>
              <w:t xml:space="preserve"> Segundo avance</w:t>
            </w:r>
          </w:p>
        </w:tc>
        <w:tc>
          <w:tcPr>
            <w:tcW w:type="dxa" w:w="328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Enlucido y pintura de paredes y techo, y pavimento listo para inicio de microcemento</w:t>
            </w:r>
          </w:p>
        </w:tc>
        <w:tc>
          <w:tcPr>
            <w:tcW w:type="dxa" w:w="73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center"/>
            </w:pPr>
            <w:r>
              <w:rPr>
                <w:rFonts w:ascii="Inter" w:cs="Inter" w:eastAsia="Inter" w:hAnsi="Inter"/>
                <w:color w:val="1C1A16"/>
                <w:kern w:val="2"/>
                <w:sz w:val="17"/>
                <w:szCs w:val="17"/>
              </w:rPr>
              <w:t xml:space="preserve">20 %</w:t>
            </w:r>
          </w:p>
        </w:tc>
        <w:tc>
          <w:tcPr>
            <w:tcW w:type="dxa" w:w="124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9.271,80 €</w:t>
            </w:r>
          </w:p>
        </w:tc>
        <w:tc>
          <w:tcPr>
            <w:tcW w:type="dxa" w:w="113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927,18 €</w:t>
            </w:r>
          </w:p>
        </w:tc>
        <w:tc>
          <w:tcPr>
            <w:tcW w:type="dxa" w:w="130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10.198,98 €</w:t>
            </w:r>
          </w:p>
        </w:tc>
      </w:tr>
      <w:tr>
        <w:trPr>
          <w:cantSplit/>
        </w:trPr>
        <w:tc>
          <w:tcPr>
            <w:tcW w:type="dxa" w:w="192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85692F"/>
                <w:kern w:val="2"/>
                <w:sz w:val="17"/>
                <w:szCs w:val="17"/>
              </w:rPr>
              <w:t xml:space="preserve">5</w:t>
            </w:r>
            <w:r>
              <w:rPr>
                <w:rFonts w:ascii="Inter SemiBold" w:cs="Inter SemiBold" w:eastAsia="Inter SemiBold" w:hAnsi="Inter SemiBold"/>
                <w:color w:val="1C1A16"/>
                <w:kern w:val="2"/>
                <w:sz w:val="17"/>
                <w:szCs w:val="17"/>
              </w:rPr>
              <w:t xml:space="preserve"> Entrega</w:t>
            </w:r>
          </w:p>
        </w:tc>
        <w:tc>
          <w:tcPr>
            <w:tcW w:type="dxa" w:w="3288"/>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Microcemento, montaje de mobiliario de baño y cocina, revisión conjunta, trabajos terminados, pruebas y limpieza</w:t>
            </w:r>
          </w:p>
        </w:tc>
        <w:tc>
          <w:tcPr>
            <w:tcW w:type="dxa" w:w="73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center"/>
            </w:pPr>
            <w:r>
              <w:rPr>
                <w:rFonts w:ascii="Inter" w:cs="Inter" w:eastAsia="Inter" w:hAnsi="Inter"/>
                <w:color w:val="1C1A16"/>
                <w:kern w:val="2"/>
                <w:sz w:val="17"/>
                <w:szCs w:val="17"/>
              </w:rPr>
              <w:t xml:space="preserve">20 %</w:t>
            </w:r>
          </w:p>
        </w:tc>
        <w:tc>
          <w:tcPr>
            <w:tcW w:type="dxa" w:w="1247"/>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9.271,80 €</w:t>
            </w:r>
          </w:p>
        </w:tc>
        <w:tc>
          <w:tcPr>
            <w:tcW w:type="dxa" w:w="113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w:cs="Inter" w:eastAsia="Inter" w:hAnsi="Inter"/>
                <w:color w:val="1C1A16"/>
                <w:kern w:val="2"/>
                <w:sz w:val="17"/>
                <w:szCs w:val="17"/>
              </w:rPr>
              <w:t xml:space="preserve">927,18 €</w:t>
            </w:r>
          </w:p>
        </w:tc>
        <w:tc>
          <w:tcPr>
            <w:tcW w:type="dxa" w:w="1304"/>
            <w:tcBorders>
              <w:top w:val="nil" w:color="auto" w:sz="0"/>
              <w:left w:val="nil" w:color="auto" w:sz="0"/>
              <w:bottom w:val="single" w:color="E2DBCD" w:sz="4"/>
              <w:right w:val="nil" w:color="auto" w:sz="0"/>
            </w:tcBorders>
            <w:tcMar>
              <w:top w:type="dxa" w:w="99"/>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10.198,98 €</w:t>
            </w:r>
          </w:p>
        </w:tc>
      </w:tr>
      <w:tr>
        <w:trPr>
          <w:cantSplit/>
        </w:trPr>
        <w:tc>
          <w:tcPr>
            <w:tcW w:type="dxa" w:w="1928"/>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pPr>
            <w:r>
              <w:rPr>
                <w:rFonts w:ascii="Inter" w:cs="Inter" w:eastAsia="Inter" w:hAnsi="Inter"/>
                <w:color w:val="1C1A16"/>
                <w:kern w:val="2"/>
                <w:sz w:val="17"/>
                <w:szCs w:val="17"/>
              </w:rPr>
              <w:t xml:space="preserve"/>
            </w:r>
          </w:p>
        </w:tc>
        <w:tc>
          <w:tcPr>
            <w:tcW w:type="dxa" w:w="3288"/>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pPr>
            <w:r>
              <w:rPr>
                <w:rFonts w:ascii="Inter SemiBold" w:cs="Inter SemiBold" w:eastAsia="Inter SemiBold" w:hAnsi="Inter SemiBold"/>
                <w:color w:val="1C1A16"/>
                <w:kern w:val="2"/>
                <w:sz w:val="17"/>
                <w:szCs w:val="17"/>
              </w:rPr>
              <w:t xml:space="preserve">Total proyecto base</w:t>
            </w:r>
          </w:p>
        </w:tc>
        <w:tc>
          <w:tcPr>
            <w:tcW w:type="dxa" w:w="737"/>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jc w:val="center"/>
            </w:pPr>
            <w:r>
              <w:rPr>
                <w:rFonts w:ascii="Inter SemiBold" w:cs="Inter SemiBold" w:eastAsia="Inter SemiBold" w:hAnsi="Inter SemiBold"/>
                <w:color w:val="1C1A16"/>
                <w:kern w:val="2"/>
                <w:sz w:val="17"/>
                <w:szCs w:val="17"/>
              </w:rPr>
              <w:t xml:space="preserve">100 %</w:t>
            </w:r>
          </w:p>
        </w:tc>
        <w:tc>
          <w:tcPr>
            <w:tcW w:type="dxa" w:w="1247"/>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46.359,00 €</w:t>
            </w:r>
          </w:p>
        </w:tc>
        <w:tc>
          <w:tcPr>
            <w:tcW w:type="dxa" w:w="1134"/>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jc w:val="right"/>
            </w:pPr>
            <w:r>
              <w:rPr>
                <w:rFonts w:ascii="Inter SemiBold" w:cs="Inter SemiBold" w:eastAsia="Inter SemiBold" w:hAnsi="Inter SemiBold"/>
                <w:color w:val="1C1A16"/>
                <w:kern w:val="2"/>
                <w:sz w:val="17"/>
                <w:szCs w:val="17"/>
              </w:rPr>
              <w:t xml:space="preserve">4.635,90 €</w:t>
            </w:r>
          </w:p>
        </w:tc>
        <w:tc>
          <w:tcPr>
            <w:tcW w:type="dxa" w:w="1304"/>
            <w:tcBorders>
              <w:top w:val="single" w:color="BA9A58" w:sz="10"/>
              <w:left w:val="nil" w:color="auto" w:sz="0"/>
              <w:bottom w:val="nil" w:color="auto" w:sz="0"/>
              <w:right w:val="nil" w:color="auto" w:sz="0"/>
            </w:tcBorders>
            <w:tcMar>
              <w:top w:type="dxa" w:w="147"/>
              <w:left w:type="dxa" w:w="113"/>
              <w:bottom w:type="dxa" w:w="99"/>
              <w:right w:type="dxa" w:w="113"/>
            </w:tcMar>
            <w:vAlign w:val="top"/>
          </w:tcPr>
          <w:p>
            <w:pPr>
              <w:keepLines/>
              <w:spacing w:after="0" w:before="0" w:line="244" w:lineRule="atLeast"/>
              <w:jc w:val="right"/>
            </w:pPr>
            <w:r>
              <w:rPr>
                <w:rFonts w:ascii="Inter" w:cs="Inter" w:eastAsia="Inter" w:hAnsi="Inter"/>
                <w:b/>
                <w:bCs/>
                <w:color w:val="1C1A16"/>
                <w:kern w:val="2"/>
                <w:sz w:val="17"/>
                <w:szCs w:val="17"/>
              </w:rPr>
              <w:t xml:space="preserve">50.994,90 €</w:t>
            </w:r>
          </w:p>
        </w:tc>
      </w:tr>
    </w:tbl>
    <w:p>
      <w:pPr>
        <w:keepLines/>
        <w:spacing w:after="181" w:before="340" w:line="288" w:lineRule="atLeast"/>
      </w:pPr>
      <w:r>
        <w:rPr>
          <w:rFonts w:ascii="Inter" w:cs="Inter" w:eastAsia="Inter" w:hAnsi="Inter"/>
          <w:color w:val="1C1A16"/>
          <w:kern w:val="2"/>
          <w:sz w:val="19"/>
          <w:szCs w:val="19"/>
        </w:rPr>
        <w:t xml:space="preserve">Cada solicitud de pago se acompaña de la factura correspondiente y, en los avances, del registro de trabajos realizados. Medio de pago: transferencia bancaria a la cuenta de Renovare Design &amp; Build SL que figura en cada factura.</w:t>
      </w:r>
    </w:p>
    <w:p>
      <w:pPr>
        <w:keepLines/>
        <w:spacing w:after="147" w:before="0" w:line="264" w:lineRule="atLeast"/>
      </w:pPr>
      <w:r>
        <w:rPr>
          <w:rFonts w:ascii="Inter" w:cs="Inter" w:eastAsia="Inter" w:hAnsi="Inter"/>
          <w:color w:val="625B50"/>
          <w:kern w:val="2"/>
          <w:sz w:val="18"/>
          <w:szCs w:val="18"/>
        </w:rPr>
        <w:t xml:space="preserve">Si se acepta la puerta principal, cada pago pasa a 9.509,00 € + 950,90 € de IVA = 10.459,90 €.</w:t>
      </w:r>
    </w:p>
    <w:p>
      <w:pPr>
        <w:keepNext/>
        <w:keepLines/>
        <w:pageBreakBefore/>
        <w:pBdr>
          <w:bottom w:val="single" w:color="BA9A58" w:sz="5" w:space="6"/>
        </w:pBdr>
        <w:spacing w:after="227" w:before="0" w:line="220" w:lineRule="atLeast"/>
      </w:pPr>
      <w:r>
        <w:rPr>
          <w:rFonts w:ascii="Inter SemiBold" w:cs="Inter SemiBold" w:eastAsia="Inter SemiBold" w:hAnsi="Inter SemiBold"/>
          <w:caps/>
          <w:color w:val="85692F"/>
          <w:spacing w:val="25"/>
          <w:kern w:val="2"/>
          <w:sz w:val="16"/>
          <w:szCs w:val="16"/>
        </w:rPr>
        <w:t xml:space="preserve">04 · Condiciones</w:t>
      </w:r>
    </w:p>
    <w:p>
      <w:pPr>
        <w:keepNext/>
        <w:keepLines/>
        <w:spacing w:after="340" w:before="57" w:line="506" w:lineRule="atLeast"/>
      </w:pPr>
      <w:r>
        <w:rPr>
          <w:rFonts w:ascii="EB Garamond Medium" w:cs="EB Garamond Medium" w:eastAsia="EB Garamond Medium" w:hAnsi="EB Garamond Medium"/>
          <w:color w:val="1C1A16"/>
          <w:kern w:val="2"/>
          <w:sz w:val="44"/>
          <w:szCs w:val="44"/>
        </w:rPr>
        <w:t xml:space="preserve">Condiciones de la propuesta</w:t>
      </w:r>
    </w:p>
    <w:p>
      <w:pPr>
        <w:keepNext/>
        <w:keepLines/>
        <w:spacing w:after="125" w:before="0"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 Precio y alcance</w:t>
      </w:r>
    </w:p>
    <w:p>
      <w:pPr>
        <w:keepLines/>
        <w:spacing w:after="125" w:before="0" w:line="270" w:lineRule="atLeast"/>
      </w:pPr>
      <w:r>
        <w:rPr>
          <w:rFonts w:ascii="Inter" w:cs="Inter" w:eastAsia="Inter" w:hAnsi="Inter"/>
          <w:color w:val="1C1A16"/>
          <w:kern w:val="2"/>
          <w:sz w:val="18"/>
          <w:szCs w:val="18"/>
        </w:rPr>
        <w:t xml:space="preserve">El precio acordado cubre las partidas, mediciones y calidades incluidas. Los opcionales sin seleccionar y las exclusiones no forman parte del total contratado. Las decisiones abiertas que afecten al precio se resolverán antes de la aceptación.</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 Cambios e imprevistos</w:t>
      </w:r>
    </w:p>
    <w:p>
      <w:pPr>
        <w:keepLines/>
        <w:spacing w:after="125" w:before="0" w:line="270" w:lineRule="atLeast"/>
      </w:pPr>
      <w:r>
        <w:rPr>
          <w:rFonts w:ascii="Inter" w:cs="Inter" w:eastAsia="Inter" w:hAnsi="Inter"/>
          <w:color w:val="1C1A16"/>
          <w:kern w:val="2"/>
          <w:sz w:val="18"/>
          <w:szCs w:val="18"/>
        </w:rPr>
        <w:t xml:space="preserve">Si se solicita un cambio o aparece una condición oculta, documentamos el hallazgo y presentamos su solución, coste con IVA y efecto en el plazo. Se ejecuta tras la aprobación escrita del cliente. Mientras se decide, acordamos las actuaciones afectadas y las medidas necesarias de protección.</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 Materiales y suministros</w:t>
      </w:r>
    </w:p>
    <w:p>
      <w:pPr>
        <w:keepLines/>
        <w:spacing w:after="125" w:before="0" w:line="270" w:lineRule="atLeast"/>
      </w:pPr>
      <w:r>
        <w:rPr>
          <w:rFonts w:ascii="Inter" w:cs="Inter" w:eastAsia="Inter" w:hAnsi="Inter"/>
          <w:color w:val="1C1A16"/>
          <w:kern w:val="2"/>
          <w:sz w:val="18"/>
          <w:szCs w:val="18"/>
        </w:rPr>
        <w:t xml:space="preserve">Las referencias incluidas constan en las partidas y anexos. Cualquier cambio de gama o suministro del cliente debe quedar definido antes del pedido, junto con su coste, instalación y fecha de entrega. Las compras a medida se autorizan una vez verificadas las dimensiones.</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 Accesos, permisos y residuos</w:t>
      </w:r>
    </w:p>
    <w:p>
      <w:pPr>
        <w:keepLines/>
        <w:spacing w:after="125" w:before="0" w:line="270" w:lineRule="atLeast"/>
      </w:pPr>
      <w:r>
        <w:rPr>
          <w:rFonts w:ascii="Inter" w:cs="Inter" w:eastAsia="Inter" w:hAnsi="Inter"/>
          <w:color w:val="1C1A16"/>
          <w:kern w:val="2"/>
          <w:sz w:val="18"/>
          <w:szCs w:val="18"/>
        </w:rPr>
        <w:t xml:space="preserve">El cliente se encargará de las licencias, tasas y documentación técnica necesarias para la obra, salvo que se acuerde expresamente su gestión por Renovare. Asimismo, facilitará el acceso a la vivienda y el suministro de agua y electricidad durante los trabajos. Los horarios se coordinarán con el cliente, respetando las normas de la comunidad y los horarios permitidos.</w:t>
      </w:r>
    </w:p>
    <w:p>
      <w:pPr>
        <w:keepLines/>
        <w:spacing w:after="125" w:before="0" w:line="270" w:lineRule="atLeast"/>
      </w:pPr>
      <w:r>
        <w:rPr>
          <w:rFonts w:ascii="Inter" w:cs="Inter" w:eastAsia="Inter" w:hAnsi="Inter"/>
          <w:color w:val="1C1A16"/>
          <w:kern w:val="2"/>
          <w:sz w:val="18"/>
          <w:szCs w:val="18"/>
        </w:rPr>
        <w:t xml:space="preserve">Renovare realizará la protección de las zonas de paso y de las zonas comunes afectadas por los trabajos, así como la retirada y gestión de los residuos generados y la limpieza final de obra, conforme a las partidas incluidas en el presupuesto.</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 Plazos y coordinación</w:t>
      </w:r>
    </w:p>
    <w:p>
      <w:pPr>
        <w:keepLines/>
        <w:spacing w:after="125" w:before="0" w:line="270" w:lineRule="atLeast"/>
      </w:pPr>
      <w:r>
        <w:rPr>
          <w:rFonts w:ascii="Inter" w:cs="Inter" w:eastAsia="Inter" w:hAnsi="Inter"/>
          <w:color w:val="1C1A16"/>
          <w:kern w:val="2"/>
          <w:sz w:val="18"/>
          <w:szCs w:val="18"/>
        </w:rPr>
        <w:t xml:space="preserve">La planificación corresponde al alcance aceptado. Si cambia el alcance o surge una incidencia que afecta al calendario, comunicamos su causa y acordamos por escrito las fechas actualizadas. Las entregas de materiales a medida se coordinan antes de confirmar el inicio.</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 Entrega y atención posterior</w:t>
      </w:r>
    </w:p>
    <w:p>
      <w:pPr>
        <w:keepLines/>
        <w:spacing w:after="125" w:before="0" w:line="270" w:lineRule="atLeast"/>
      </w:pPr>
      <w:r>
        <w:rPr>
          <w:rFonts w:ascii="Inter" w:cs="Inter" w:eastAsia="Inter" w:hAnsi="Inter"/>
          <w:color w:val="1C1A16"/>
          <w:kern w:val="2"/>
          <w:sz w:val="18"/>
          <w:szCs w:val="18"/>
        </w:rPr>
        <w:t xml:space="preserve">Al finalizar la obra, se realizará una revisión conjunta con el cliente y se firmará un acta de entrega que recogerá las comprobaciones realizadas, la documentación entregada y los posibles remates pendientes, indicando su responsable y fecha prevista de resolución.</w:t>
      </w:r>
    </w:p>
    <w:p>
      <w:pPr>
        <w:keepLines/>
        <w:spacing w:after="125" w:before="0" w:line="270" w:lineRule="atLeast"/>
      </w:pPr>
      <w:r>
        <w:rPr>
          <w:rFonts w:ascii="Inter" w:cs="Inter" w:eastAsia="Inter" w:hAnsi="Inter"/>
          <w:color w:val="1C1A16"/>
          <w:kern w:val="2"/>
          <w:sz w:val="18"/>
          <w:szCs w:val="18"/>
        </w:rPr>
        <w:t xml:space="preserve">Las incidencias se comunicarán a Sebastián Vanegas, en el teléfono </w:t>
      </w:r>
      <w:r>
        <w:rPr>
          <w:rFonts w:ascii="Inter SemiBold" w:cs="Inter SemiBold" w:eastAsia="Inter SemiBold" w:hAnsi="Inter SemiBold"/>
          <w:color w:val="1C1A16"/>
          <w:kern w:val="2"/>
          <w:sz w:val="18"/>
          <w:szCs w:val="18"/>
        </w:rPr>
        <w:t xml:space="preserve">624 892 643</w:t>
      </w:r>
      <w:r>
        <w:rPr>
          <w:rFonts w:ascii="Inter" w:cs="Inter" w:eastAsia="Inter" w:hAnsi="Inter"/>
          <w:color w:val="1C1A16"/>
          <w:kern w:val="2"/>
          <w:sz w:val="18"/>
          <w:szCs w:val="18"/>
        </w:rPr>
        <w:t xml:space="preserve">. Renovare entregará las garantías, instrucciones de uso y mantenimiento y certificados que correspondan a los productos e instalaciones incluidos en el presupuesto. Las garantías de los trabajos y productos se atenderán conforme al contrato y a la normativa aplicable, respetando los derechos del cliente.</w:t>
      </w:r>
    </w:p>
    <w:p>
      <w:pPr>
        <w:keepNext/>
        <w:keepLines/>
        <w:spacing w:after="125" w:before="238" w:line="280" w:lineRule="atLeast"/>
      </w:pPr>
      <w:r>
        <w:rPr>
          <w:rFonts w:ascii="Arial" w:cs="Arial" w:eastAsia="Arial" w:hAnsi="Arial"/>
          <w:color w:val="BA9A58"/>
          <w:kern w:val="2"/>
          <w:sz w:val="22"/>
          <w:szCs w:val="22"/>
        </w:rPr>
        <w:t xml:space="preserve">■</w:t>
      </w:r>
      <w:r>
        <w:rPr>
          <w:rFonts w:ascii="Inter SemiBold" w:cs="Inter SemiBold" w:eastAsia="Inter SemiBold" w:hAnsi="Inter SemiBold"/>
          <w:color w:val="1C1A16"/>
          <w:kern w:val="2"/>
          <w:sz w:val="20"/>
          <w:szCs w:val="20"/>
        </w:rPr>
        <w:t xml:space="preserve"> Documentación contractual</w:t>
      </w:r>
    </w:p>
    <w:p>
      <w:pPr>
        <w:keepLines/>
        <w:spacing w:after="125" w:before="0" w:line="270" w:lineRule="atLeast"/>
      </w:pPr>
      <w:r>
        <w:rPr>
          <w:rFonts w:ascii="Inter" w:cs="Inter" w:eastAsia="Inter" w:hAnsi="Inter"/>
          <w:color w:val="1C1A16"/>
          <w:kern w:val="2"/>
          <w:sz w:val="18"/>
          <w:szCs w:val="18"/>
        </w:rPr>
        <w:t xml:space="preserve">La propuesta aceptada, sus anexos identificados y los cambios aprobados definen el alcance económico. El contrato de obra recoge las restantes condiciones, incluida cancelación y resolución. Seguro de responsabilidad civil: Occident GCO, S.A.U. de Seguros y Reaseguros, 8-11.477.641-F, con vigencia 03-02-2027.</w:t>
      </w:r>
    </w:p>
    <w:p>
      <w:pPr>
        <w:keepNext/>
        <w:keepLines/>
        <w:pageBreakBefore/>
        <w:pBdr>
          <w:bottom w:val="single" w:color="BA9A58" w:sz="5" w:space="6"/>
        </w:pBdr>
        <w:spacing w:after="227" w:before="0" w:line="220" w:lineRule="atLeast"/>
      </w:pPr>
      <w:r>
        <w:rPr>
          <w:rFonts w:ascii="Inter SemiBold" w:cs="Inter SemiBold" w:eastAsia="Inter SemiBold" w:hAnsi="Inter SemiBold"/>
          <w:caps/>
          <w:color w:val="85692F"/>
          <w:spacing w:val="25"/>
          <w:kern w:val="2"/>
          <w:sz w:val="16"/>
          <w:szCs w:val="16"/>
        </w:rPr>
        <w:t xml:space="preserve">05 · Aceptación</w:t>
      </w:r>
    </w:p>
    <w:p>
      <w:pPr>
        <w:keepNext/>
        <w:keepLines/>
        <w:spacing w:after="340" w:before="57" w:line="506" w:lineRule="atLeast"/>
      </w:pPr>
      <w:r>
        <w:rPr>
          <w:rFonts w:ascii="EB Garamond Medium" w:cs="EB Garamond Medium" w:eastAsia="EB Garamond Medium" w:hAnsi="EB Garamond Medium"/>
          <w:color w:val="1C1A16"/>
          <w:kern w:val="2"/>
          <w:sz w:val="44"/>
          <w:szCs w:val="44"/>
        </w:rPr>
        <w:t xml:space="preserve">Aceptación de la propuesta</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2948"/>
        <w:gridCol w:w="6690"/>
      </w:tblGrid>
      <w:tr>
        <w:trPr>
          <w:cantSplit/>
        </w:trPr>
        <w:tc>
          <w:tcPr>
            <w:tcW w:type="dxa" w:w="2948"/>
            <w:tcBorders>
              <w:top w:val="single" w:color="E2DBCD" w:sz="4"/>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w:cs="Inter" w:eastAsia="Inter" w:hAnsi="Inter"/>
                <w:color w:val="625B50"/>
                <w:kern w:val="2"/>
                <w:sz w:val="19"/>
                <w:szCs w:val="19"/>
              </w:rPr>
              <w:t xml:space="preserve">Cliente</w:t>
            </w:r>
          </w:p>
        </w:tc>
        <w:tc>
          <w:tcPr>
            <w:tcW w:type="dxa" w:w="6690"/>
            <w:tcBorders>
              <w:top w:val="single" w:color="E2DBCD" w:sz="4"/>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Medium" w:cs="Inter Medium" w:eastAsia="Inter Medium" w:hAnsi="Inter Medium"/>
                <w:color w:val="1C1A16"/>
                <w:kern w:val="2"/>
                <w:sz w:val="19"/>
                <w:szCs w:val="19"/>
              </w:rPr>
              <w:t xml:space="preserve">Cristian Nohalez García · DNI o NIF 03151845V</w:t>
            </w:r>
          </w:p>
        </w:tc>
      </w:tr>
      <w:tr>
        <w:trPr>
          <w:cantSplit/>
        </w:trPr>
        <w:tc>
          <w:tcPr>
            <w:tcW w:type="dxa" w:w="2948"/>
            <w:tcBorders>
              <w:top w:val="nil" w:color="auto" w:sz="0"/>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w:cs="Inter" w:eastAsia="Inter" w:hAnsi="Inter"/>
                <w:color w:val="625B50"/>
                <w:kern w:val="2"/>
                <w:sz w:val="19"/>
                <w:szCs w:val="19"/>
              </w:rPr>
              <w:t xml:space="preserve">Obra</w:t>
            </w:r>
          </w:p>
        </w:tc>
        <w:tc>
          <w:tcPr>
            <w:tcW w:type="dxa" w:w="6690"/>
            <w:tcBorders>
              <w:top w:val="nil" w:color="auto" w:sz="0"/>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Medium" w:cs="Inter Medium" w:eastAsia="Inter Medium" w:hAnsi="Inter Medium"/>
                <w:color w:val="1C1A16"/>
                <w:kern w:val="2"/>
                <w:sz w:val="19"/>
                <w:szCs w:val="19"/>
              </w:rPr>
              <w:t xml:space="preserve">Calle Barig 3, Benicalap · 46025</w:t>
            </w:r>
          </w:p>
        </w:tc>
      </w:tr>
      <w:tr>
        <w:trPr>
          <w:cantSplit/>
        </w:trPr>
        <w:tc>
          <w:tcPr>
            <w:tcW w:type="dxa" w:w="2948"/>
            <w:tcBorders>
              <w:top w:val="nil" w:color="auto" w:sz="0"/>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w:cs="Inter" w:eastAsia="Inter" w:hAnsi="Inter"/>
                <w:color w:val="625B50"/>
                <w:kern w:val="2"/>
                <w:sz w:val="19"/>
                <w:szCs w:val="19"/>
              </w:rPr>
              <w:t xml:space="preserve">Oferta</w:t>
            </w:r>
          </w:p>
        </w:tc>
        <w:tc>
          <w:tcPr>
            <w:tcW w:type="dxa" w:w="6690"/>
            <w:tcBorders>
              <w:top w:val="nil" w:color="auto" w:sz="0"/>
              <w:left w:val="nil" w:color="auto" w:sz="0"/>
              <w:bottom w:val="single" w:color="E2DBCD" w:sz="4"/>
              <w:right w:val="nil" w:color="auto" w:sz="0"/>
            </w:tcBorders>
            <w:tcMar>
              <w:top w:type="dxa" w:w="79"/>
              <w:left w:type="dxa" w:w="0"/>
              <w:bottom w:type="dxa" w:w="79"/>
              <w:right w:type="dxa" w:w="136"/>
            </w:tcMar>
            <w:vAlign w:val="top"/>
          </w:tcPr>
          <w:p>
            <w:pPr>
              <w:keepLines/>
              <w:spacing w:after="0" w:before="0" w:line="280" w:lineRule="atLeast"/>
            </w:pPr>
            <w:r>
              <w:rPr>
                <w:rFonts w:ascii="Inter Medium" w:cs="Inter Medium" w:eastAsia="Inter Medium" w:hAnsi="Inter Medium"/>
                <w:color w:val="1C1A16"/>
                <w:kern w:val="2"/>
                <w:sz w:val="19"/>
                <w:szCs w:val="19"/>
              </w:rPr>
              <w:t xml:space="preserve">SV-0045-03 · Fecha 07/10/2026</w:t>
            </w:r>
          </w:p>
        </w:tc>
      </w:tr>
    </w:tbl>
    <w:p>
      <w:pPr>
        <w:keepLines/>
        <w:spacing w:after="170" w:before="227" w:line="288" w:lineRule="atLeast"/>
      </w:pPr>
      <w:r>
        <w:rPr>
          <w:rFonts w:ascii="Inter" w:cs="Inter" w:eastAsia="Inter" w:hAnsi="Inter"/>
          <w:color w:val="1C1A16"/>
          <w:kern w:val="2"/>
          <w:sz w:val="19"/>
          <w:szCs w:val="19"/>
        </w:rPr>
        <w:t xml:space="preserve">Se acepta el proyecto base y únicamente las opciones marcadas a continuación. Las alternativas no marcadas quedan fuera del encargo.</w:t>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1928"/>
        <w:gridCol w:w="5556"/>
        <w:gridCol w:w="2154"/>
      </w:tblGrid>
      <w:tr>
        <w:trPr>
          <w:cantSplit/>
          <w:tblHeader/>
        </w:trPr>
        <w:tc>
          <w:tcPr>
            <w:tcW w:type="dxa" w:w="1928"/>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Selección</w:t>
            </w:r>
          </w:p>
        </w:tc>
        <w:tc>
          <w:tcPr>
            <w:tcW w:type="dxa" w:w="5556"/>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Alcance</w:t>
            </w:r>
          </w:p>
        </w:tc>
        <w:tc>
          <w:tcPr>
            <w:tcW w:type="dxa" w:w="2154"/>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Total antes de IVA</w:t>
            </w:r>
          </w:p>
        </w:tc>
      </w:tr>
      <w:tr>
        <w:trPr>
          <w:cantSplit/>
        </w:trPr>
        <w:tc>
          <w:tcPr>
            <w:tcW w:type="dxa" w:w="1928"/>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SemiBold" w:cs="Inter SemiBold" w:eastAsia="Inter SemiBold" w:hAnsi="Inter SemiBold"/>
                <w:color w:val="85692F"/>
                <w:kern w:val="2"/>
                <w:sz w:val="18"/>
                <w:szCs w:val="18"/>
              </w:rPr>
              <w:t xml:space="preserve">Base incluida</w:t>
            </w:r>
          </w:p>
        </w:tc>
        <w:tc>
          <w:tcPr>
            <w:tcW w:type="dxa" w:w="5556"/>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Proyecto base</w:t>
            </w:r>
          </w:p>
        </w:tc>
        <w:tc>
          <w:tcPr>
            <w:tcW w:type="dxa" w:w="215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46.359,00 €</w:t>
            </w:r>
          </w:p>
        </w:tc>
      </w:tr>
      <w:tr>
        <w:trPr>
          <w:cantSplit/>
        </w:trPr>
        <w:tc>
          <w:tcPr>
            <w:tcW w:type="dxa" w:w="1928"/>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Arial" w:cs="Arial" w:eastAsia="Arial" w:hAnsi="Arial"/>
                <w:color w:val="1C1A16"/>
                <w:kern w:val="2"/>
                <w:sz w:val="22"/>
                <w:szCs w:val="22"/>
              </w:rPr>
              <w:t xml:space="preserve">□</w:t>
            </w:r>
            <w:r>
              <w:rPr>
                <w:rFonts w:ascii="Inter" w:cs="Inter" w:eastAsia="Inter" w:hAnsi="Inter"/>
                <w:color w:val="1C1A16"/>
                <w:kern w:val="2"/>
                <w:sz w:val="18"/>
                <w:szCs w:val="18"/>
              </w:rPr>
              <w:t xml:space="preserve"> Sí      </w:t>
            </w:r>
            <w:r>
              <w:rPr>
                <w:rFonts w:ascii="Arial" w:cs="Arial" w:eastAsia="Arial" w:hAnsi="Arial"/>
                <w:color w:val="1C1A16"/>
                <w:kern w:val="2"/>
                <w:sz w:val="22"/>
                <w:szCs w:val="22"/>
              </w:rPr>
              <w:t xml:space="preserve">□</w:t>
            </w:r>
            <w:r>
              <w:rPr>
                <w:rFonts w:ascii="Inter" w:cs="Inter" w:eastAsia="Inter" w:hAnsi="Inter"/>
                <w:color w:val="1C1A16"/>
                <w:kern w:val="2"/>
                <w:sz w:val="18"/>
                <w:szCs w:val="18"/>
              </w:rPr>
              <w:t xml:space="preserve"> No</w:t>
            </w:r>
          </w:p>
        </w:tc>
        <w:tc>
          <w:tcPr>
            <w:tcW w:type="dxa" w:w="5556"/>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pPr>
            <w:r>
              <w:rPr>
                <w:rFonts w:ascii="Inter" w:cs="Inter" w:eastAsia="Inter" w:hAnsi="Inter"/>
                <w:color w:val="1C1A16"/>
                <w:kern w:val="2"/>
                <w:sz w:val="18"/>
                <w:szCs w:val="18"/>
              </w:rPr>
              <w:t xml:space="preserve">Opción · Partida 27. Puerta principal: suministro e instalación</w:t>
            </w:r>
          </w:p>
        </w:tc>
        <w:tc>
          <w:tcPr>
            <w:tcW w:type="dxa" w:w="2154"/>
            <w:tcBorders>
              <w:top w:val="nil" w:color="auto" w:sz="0"/>
              <w:left w:val="nil" w:color="auto" w:sz="0"/>
              <w:bottom w:val="single" w:color="E2DBCD" w:sz="4"/>
              <w:right w:val="nil" w:color="auto" w:sz="0"/>
            </w:tcBorders>
            <w:tcMar>
              <w:top w:type="dxa" w:w="99"/>
              <w:left w:type="dxa" w:w="136"/>
              <w:bottom w:type="dxa" w:w="99"/>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1.186,00 €</w:t>
            </w:r>
          </w:p>
        </w:tc>
      </w:tr>
    </w:tbl>
    <w:p>
      <w:pPr>
        <w:keepLines/>
        <w:spacing w:after="0" w:before="283"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876"/>
        <w:gridCol w:w="2381"/>
        <w:gridCol w:w="2381"/>
      </w:tblGrid>
      <w:tr>
        <w:trPr>
          <w:cantSplit/>
          <w:tblHeader/>
        </w:trPr>
        <w:tc>
          <w:tcPr>
            <w:tcW w:type="dxa" w:w="4876"/>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pPr>
            <w:r>
              <w:rPr>
                <w:rFonts w:ascii="Inter SemiBold" w:cs="Inter SemiBold" w:eastAsia="Inter SemiBold" w:hAnsi="Inter SemiBold"/>
                <w:caps/>
                <w:color w:val="FFFFFF"/>
                <w:spacing w:val="10"/>
                <w:kern w:val="2"/>
                <w:sz w:val="14"/>
                <w:szCs w:val="14"/>
              </w:rPr>
              <w:t xml:space="preserve">Importe contratado</w:t>
            </w:r>
          </w:p>
        </w:tc>
        <w:tc>
          <w:tcPr>
            <w:tcW w:type="dxa" w:w="2381"/>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Proyecto base</w:t>
            </w:r>
          </w:p>
        </w:tc>
        <w:tc>
          <w:tcPr>
            <w:tcW w:type="dxa" w:w="2381"/>
            <w:tcBorders>
              <w:top w:val="nil" w:color="auto" w:sz="0"/>
              <w:left w:val="nil" w:color="auto" w:sz="0"/>
              <w:bottom w:val="nil" w:color="auto" w:sz="0"/>
              <w:right w:val="nil" w:color="auto" w:sz="0"/>
            </w:tcBorders>
            <w:shd w:fill="1C1A16" w:color="auto" w:val="clear"/>
            <w:tcMar>
              <w:top w:type="dxa" w:w="130"/>
              <w:left w:type="dxa" w:w="136"/>
              <w:bottom w:type="dxa" w:w="130"/>
              <w:right w:type="dxa" w:w="136"/>
            </w:tcMar>
            <w:vAlign w:val="bottom"/>
          </w:tcPr>
          <w:p>
            <w:pPr>
              <w:keepLines/>
              <w:spacing w:after="0" w:before="0" w:line="200" w:lineRule="atLeast"/>
              <w:jc w:val="right"/>
            </w:pPr>
            <w:r>
              <w:rPr>
                <w:rFonts w:ascii="Inter SemiBold" w:cs="Inter SemiBold" w:eastAsia="Inter SemiBold" w:hAnsi="Inter SemiBold"/>
                <w:caps/>
                <w:color w:val="FFFFFF"/>
                <w:spacing w:val="10"/>
                <w:kern w:val="2"/>
                <w:sz w:val="14"/>
                <w:szCs w:val="14"/>
              </w:rPr>
              <w:t xml:space="preserve">Con puerta principal</w:t>
            </w:r>
          </w:p>
        </w:tc>
      </w:tr>
      <w:tr>
        <w:trPr>
          <w:cantSplit/>
        </w:trPr>
        <w:tc>
          <w:tcPr>
            <w:tcW w:type="dxa" w:w="4876"/>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pPr>
            <w:r>
              <w:rPr>
                <w:rFonts w:ascii="Inter" w:cs="Inter" w:eastAsia="Inter" w:hAnsi="Inter"/>
                <w:color w:val="1C1A16"/>
                <w:kern w:val="2"/>
                <w:sz w:val="18"/>
                <w:szCs w:val="18"/>
              </w:rPr>
              <w:t xml:space="preserve">Base imponible</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46.359,00 €</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47.545,00 €</w:t>
            </w:r>
          </w:p>
        </w:tc>
      </w:tr>
      <w:tr>
        <w:trPr>
          <w:cantSplit/>
        </w:trPr>
        <w:tc>
          <w:tcPr>
            <w:tcW w:type="dxa" w:w="4876"/>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pPr>
            <w:r>
              <w:rPr>
                <w:rFonts w:ascii="Inter" w:cs="Inter" w:eastAsia="Inter" w:hAnsi="Inter"/>
                <w:color w:val="1C1A16"/>
                <w:kern w:val="2"/>
                <w:sz w:val="18"/>
                <w:szCs w:val="18"/>
              </w:rPr>
              <w:t xml:space="preserve">IVA 10 %</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4.635,90 €</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4.754,50 €</w:t>
            </w:r>
          </w:p>
        </w:tc>
      </w:tr>
      <w:tr>
        <w:trPr>
          <w:cantSplit/>
        </w:trPr>
        <w:tc>
          <w:tcPr>
            <w:tcW w:type="dxa" w:w="4876"/>
            <w:tcBorders>
              <w:top w:val="nil" w:color="auto" w:sz="0"/>
              <w:left w:val="nil" w:color="auto" w:sz="0"/>
              <w:bottom w:val="single" w:color="BA9A58" w:sz="10"/>
              <w:right w:val="nil" w:color="auto" w:sz="0"/>
            </w:tcBorders>
            <w:shd w:fill="F3ECDD" w:color="auto" w:val="clear"/>
            <w:tcMar>
              <w:top w:type="dxa" w:w="108"/>
              <w:left w:type="dxa" w:w="136"/>
              <w:bottom w:type="dxa" w:w="108"/>
              <w:right w:type="dxa" w:w="136"/>
            </w:tcMar>
            <w:vAlign w:val="top"/>
          </w:tcPr>
          <w:p>
            <w:pPr>
              <w:keepLines/>
              <w:spacing w:after="0" w:before="0" w:line="252" w:lineRule="atLeast"/>
            </w:pPr>
            <w:r>
              <w:rPr>
                <w:rFonts w:ascii="Inter" w:cs="Inter" w:eastAsia="Inter" w:hAnsi="Inter"/>
                <w:b/>
                <w:bCs/>
                <w:color w:val="1C1A16"/>
                <w:kern w:val="2"/>
                <w:sz w:val="18"/>
                <w:szCs w:val="18"/>
              </w:rPr>
              <w:t xml:space="preserve">Total con IVA</w:t>
            </w:r>
          </w:p>
        </w:tc>
        <w:tc>
          <w:tcPr>
            <w:tcW w:type="dxa" w:w="2381"/>
            <w:tcBorders>
              <w:top w:val="nil" w:color="auto" w:sz="0"/>
              <w:left w:val="nil" w:color="auto" w:sz="0"/>
              <w:bottom w:val="single" w:color="BA9A58" w:sz="10"/>
              <w:right w:val="nil" w:color="auto" w:sz="0"/>
            </w:tcBorders>
            <w:shd w:fill="F3ECDD" w:color="auto" w:val="clear"/>
            <w:tcMar>
              <w:top w:type="dxa" w:w="108"/>
              <w:left w:type="dxa" w:w="136"/>
              <w:bottom w:type="dxa" w:w="108"/>
              <w:right w:type="dxa" w:w="136"/>
            </w:tcMar>
            <w:vAlign w:val="top"/>
          </w:tcPr>
          <w:p>
            <w:pPr>
              <w:keepLines/>
              <w:spacing w:after="0" w:before="0" w:line="252" w:lineRule="atLeast"/>
              <w:jc w:val="right"/>
            </w:pPr>
            <w:r>
              <w:rPr>
                <w:rFonts w:ascii="Inter" w:cs="Inter" w:eastAsia="Inter" w:hAnsi="Inter"/>
                <w:b/>
                <w:bCs/>
                <w:color w:val="1C1A16"/>
                <w:kern w:val="2"/>
                <w:sz w:val="18"/>
                <w:szCs w:val="18"/>
              </w:rPr>
              <w:t xml:space="preserve">50.994,90 €</w:t>
            </w:r>
          </w:p>
        </w:tc>
        <w:tc>
          <w:tcPr>
            <w:tcW w:type="dxa" w:w="2381"/>
            <w:tcBorders>
              <w:top w:val="nil" w:color="auto" w:sz="0"/>
              <w:left w:val="nil" w:color="auto" w:sz="0"/>
              <w:bottom w:val="single" w:color="BA9A58" w:sz="10"/>
              <w:right w:val="nil" w:color="auto" w:sz="0"/>
            </w:tcBorders>
            <w:shd w:fill="F3ECDD" w:color="auto" w:val="clear"/>
            <w:tcMar>
              <w:top w:type="dxa" w:w="108"/>
              <w:left w:type="dxa" w:w="136"/>
              <w:bottom w:type="dxa" w:w="108"/>
              <w:right w:type="dxa" w:w="136"/>
            </w:tcMar>
            <w:vAlign w:val="top"/>
          </w:tcPr>
          <w:p>
            <w:pPr>
              <w:keepLines/>
              <w:spacing w:after="0" w:before="0" w:line="252" w:lineRule="atLeast"/>
              <w:jc w:val="right"/>
            </w:pPr>
            <w:r>
              <w:rPr>
                <w:rFonts w:ascii="Inter" w:cs="Inter" w:eastAsia="Inter" w:hAnsi="Inter"/>
                <w:b/>
                <w:bCs/>
                <w:color w:val="1C1A16"/>
                <w:kern w:val="2"/>
                <w:sz w:val="18"/>
                <w:szCs w:val="18"/>
              </w:rPr>
              <w:t xml:space="preserve">52.299,50 €</w:t>
            </w:r>
          </w:p>
        </w:tc>
      </w:tr>
      <w:tr>
        <w:trPr>
          <w:cantSplit/>
        </w:trPr>
        <w:tc>
          <w:tcPr>
            <w:tcW w:type="dxa" w:w="4876"/>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pPr>
            <w:r>
              <w:rPr>
                <w:rFonts w:ascii="Inter" w:cs="Inter" w:eastAsia="Inter" w:hAnsi="Inter"/>
                <w:color w:val="1C1A16"/>
                <w:kern w:val="2"/>
                <w:sz w:val="18"/>
                <w:szCs w:val="18"/>
              </w:rPr>
              <w:t xml:space="preserve">Reserva del 20 % (IVA incluido)</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10.198,98 €</w:t>
            </w:r>
          </w:p>
        </w:tc>
        <w:tc>
          <w:tcPr>
            <w:tcW w:type="dxa" w:w="2381"/>
            <w:tcBorders>
              <w:top w:val="nil" w:color="auto" w:sz="0"/>
              <w:left w:val="nil" w:color="auto" w:sz="0"/>
              <w:bottom w:val="single" w:color="E2DBCD" w:sz="4"/>
              <w:right w:val="nil" w:color="auto" w:sz="0"/>
            </w:tcBorders>
            <w:tcMar>
              <w:top w:type="dxa" w:w="108"/>
              <w:left w:type="dxa" w:w="136"/>
              <w:bottom w:type="dxa" w:w="108"/>
              <w:right w:type="dxa" w:w="136"/>
            </w:tcMar>
            <w:vAlign w:val="top"/>
          </w:tcPr>
          <w:p>
            <w:pPr>
              <w:keepLines/>
              <w:spacing w:after="0" w:before="0" w:line="252" w:lineRule="atLeast"/>
              <w:jc w:val="right"/>
            </w:pPr>
            <w:r>
              <w:rPr>
                <w:rFonts w:ascii="Inter" w:cs="Inter" w:eastAsia="Inter" w:hAnsi="Inter"/>
                <w:color w:val="1C1A16"/>
                <w:kern w:val="2"/>
                <w:sz w:val="18"/>
                <w:szCs w:val="18"/>
              </w:rPr>
              <w:t xml:space="preserve">10.459,90 €</w:t>
            </w:r>
          </w:p>
        </w:tc>
      </w:tr>
    </w:tbl>
    <w:p>
      <w:pPr>
        <w:keepLines/>
        <w:spacing w:after="0" w:before="283"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819"/>
        <w:gridCol w:w="4819"/>
      </w:tblGrid>
      <w:tr>
        <w:trPr>
          <w:cantSplit/>
        </w:trPr>
        <w:tc>
          <w:tcPr>
            <w:tcW w:type="dxa" w:w="4819"/>
            <w:tcBorders>
              <w:top w:val="single" w:color="E2DBCD" w:sz="4"/>
              <w:left w:val="nil" w:color="auto" w:sz="0"/>
              <w:bottom w:val="single" w:color="E2DBCD" w:sz="4"/>
              <w:right w:val="nil" w:color="auto" w:sz="0"/>
            </w:tcBorders>
            <w:tcMar>
              <w:top w:type="dxa" w:w="125"/>
              <w:left w:type="dxa" w:w="0"/>
              <w:bottom w:type="dxa" w:w="125"/>
              <w:right w:type="dxa" w:w="454"/>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Inicio acordado</w:t>
            </w:r>
          </w:p>
          <w:p>
            <w:pPr>
              <w:keepLines/>
              <w:pBdr>
                <w:bottom w:val="single" w:color="1C1A16" w:sz="6"/>
              </w:pBdr>
              <w:spacing w:after="0" w:before="85" w:line="280" w:lineRule="atLeast"/>
            </w:pPr>
            <w:r>
              <w:rPr>
                <w:rFonts w:ascii="Inter" w:cs="Inter" w:eastAsia="Inter" w:hAnsi="Inter"/>
                <w:color w:val="1C1A16"/>
                <w:kern w:val="2"/>
                <w:sz w:val="19"/>
                <w:szCs w:val="19"/>
              </w:rPr>
              <w:t xml:space="preserve"/>
            </w:r>
          </w:p>
        </w:tc>
        <w:tc>
          <w:tcPr>
            <w:tcW w:type="dxa" w:w="4819"/>
            <w:tcBorders>
              <w:top w:val="single" w:color="E2DBCD" w:sz="4"/>
              <w:left w:val="nil" w:color="auto" w:sz="0"/>
              <w:bottom w:val="single" w:color="E2DBCD" w:sz="4"/>
              <w:right w:val="nil" w:color="auto" w:sz="0"/>
            </w:tcBorders>
            <w:tcMar>
              <w:top w:type="dxa" w:w="125"/>
              <w:left w:type="dxa" w:w="0"/>
              <w:bottom w:type="dxa" w:w="125"/>
              <w:right w:type="dxa" w:w="0"/>
            </w:tcMar>
            <w:vAlign w:val="top"/>
          </w:tcPr>
          <w:p>
            <w:pPr>
              <w:keepNext w:val="false"/>
              <w:keepLines/>
              <w:spacing w:after="0" w:before="0" w:line="193" w:lineRule="atLeast"/>
            </w:pPr>
            <w:r>
              <w:rPr>
                <w:rFonts w:ascii="Inter Medium" w:cs="Inter Medium" w:eastAsia="Inter Medium" w:hAnsi="Inter Medium"/>
                <w:caps/>
                <w:color w:val="625B50"/>
                <w:spacing w:val="14"/>
                <w:kern w:val="2"/>
                <w:sz w:val="14"/>
                <w:szCs w:val="14"/>
              </w:rPr>
              <w:t xml:space="preserve">Duración acordada</w:t>
            </w:r>
          </w:p>
          <w:p>
            <w:pPr>
              <w:keepLines/>
              <w:spacing w:after="0" w:before="34" w:line="280" w:lineRule="atLeast"/>
            </w:pPr>
            <w:r>
              <w:rPr>
                <w:rFonts w:ascii="Inter SemiBold" w:cs="Inter SemiBold" w:eastAsia="Inter SemiBold" w:hAnsi="Inter SemiBold"/>
                <w:color w:val="1C1A16"/>
                <w:kern w:val="2"/>
                <w:sz w:val="19"/>
                <w:szCs w:val="19"/>
              </w:rPr>
              <w:t xml:space="preserve">12 semanas</w:t>
            </w:r>
          </w:p>
        </w:tc>
      </w:tr>
    </w:tbl>
    <w:p>
      <w:pPr>
        <w:keepLines/>
        <w:spacing w:after="181" w:before="283" w:line="288" w:lineRule="atLeast"/>
      </w:pPr>
      <w:r>
        <w:rPr>
          <w:rFonts w:ascii="Inter" w:cs="Inter" w:eastAsia="Inter" w:hAnsi="Inter"/>
          <w:color w:val="1C1A16"/>
          <w:kern w:val="2"/>
          <w:sz w:val="19"/>
          <w:szCs w:val="19"/>
        </w:rPr>
        <w:t xml:space="preserve">Declaramos haber revisado el alcance, las exclusiones, los materiales, los importes con IVA, el calendario y los hitos de pago. Los puntos que afectaban al precio o al alcance están resueltos y reflejados en esta versión.</w:t>
      </w:r>
    </w:p>
    <w:p>
      <w:pPr>
        <w:keepLines/>
        <w:spacing w:after="0" w:before="340"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422"/>
        <w:gridCol w:w="794"/>
        <w:gridCol w:w="4422"/>
      </w:tblGrid>
      <w:tr>
        <w:trPr>
          <w:cantSplit/>
        </w:trPr>
        <w:tc>
          <w:tcPr>
            <w:tcW w:type="dxa" w:w="4422"/>
            <w:tcBorders>
              <w:top w:val="nil" w:color="auto" w:sz="0"/>
              <w:left w:val="nil" w:color="auto" w:sz="0"/>
              <w:bottom w:val="nil" w:color="auto" w:sz="0"/>
              <w:right w:val="nil" w:color="auto" w:sz="0"/>
            </w:tcBorders>
            <w:tcMar>
              <w:top w:type="dxa" w:w="0"/>
              <w:left w:type="dxa" w:w="0"/>
              <w:bottom w:type="dxa" w:w="0"/>
              <w:right w:type="dxa" w:w="0"/>
            </w:tcMar>
            <w:vAlign w:val="top"/>
          </w:tcPr>
          <w:p>
            <w:pPr>
              <w:keepNext w:val="false"/>
              <w:keepLines/>
              <w:spacing w:after="0" w:before="0" w:line="213" w:lineRule="atLeast"/>
            </w:pPr>
            <w:r>
              <w:rPr>
                <w:rFonts w:ascii="Inter SemiBold" w:cs="Inter SemiBold" w:eastAsia="Inter SemiBold" w:hAnsi="Inter SemiBold"/>
                <w:caps/>
                <w:color w:val="85692F"/>
                <w:spacing w:val="18"/>
                <w:kern w:val="2"/>
                <w:sz w:val="15"/>
                <w:szCs w:val="15"/>
              </w:rPr>
              <w:t xml:space="preserve">Por el cliente</w:t>
            </w:r>
          </w:p>
          <w:p>
            <w:pPr>
              <w:keepLines/>
              <w:pBdr>
                <w:bottom w:val="single" w:color="1C1A16" w:sz="6"/>
              </w:pBdr>
              <w:spacing w:after="0" w:before="624" w:line="280" w:lineRule="atLeast"/>
            </w:pPr>
            <w:r>
              <w:rPr>
                <w:rFonts w:ascii="Inter" w:cs="Inter" w:eastAsia="Inter" w:hAnsi="Inter"/>
                <w:color w:val="1C1A16"/>
                <w:kern w:val="2"/>
                <w:sz w:val="19"/>
                <w:szCs w:val="19"/>
              </w:rPr>
              <w:t xml:space="preserve"/>
            </w:r>
          </w:p>
          <w:p>
            <w:pPr>
              <w:keepLines/>
              <w:spacing w:after="0" w:before="113" w:line="280" w:lineRule="atLeast"/>
            </w:pPr>
            <w:r>
              <w:rPr>
                <w:rFonts w:ascii="Inter SemiBold" w:cs="Inter SemiBold" w:eastAsia="Inter SemiBold" w:hAnsi="Inter SemiBold"/>
                <w:color w:val="1C1A16"/>
                <w:kern w:val="2"/>
                <w:sz w:val="19"/>
                <w:szCs w:val="19"/>
              </w:rPr>
              <w:t xml:space="preserve">Cristian Nohalez García</w:t>
            </w:r>
          </w:p>
          <w:p>
            <w:pPr>
              <w:keepLines/>
              <w:spacing w:after="0" w:before="85" w:line="280" w:lineRule="atLeast"/>
            </w:pPr>
            <w:r>
              <w:rPr>
                <w:rFonts w:ascii="Inter" w:cs="Inter" w:eastAsia="Inter" w:hAnsi="Inter"/>
                <w:color w:val="625B50"/>
                <w:kern w:val="2"/>
                <w:sz w:val="19"/>
                <w:szCs w:val="19"/>
              </w:rPr>
              <w:t xml:space="preserve">Fecha   ______ / ______ / ____________</w:t>
            </w:r>
          </w:p>
        </w:tc>
        <w:tc>
          <w:tcPr>
            <w:tcW w:type="dxa" w:w="794"/>
            <w:tcBorders>
              <w:top w:val="nil" w:color="auto" w:sz="0"/>
              <w:left w:val="nil" w:color="auto" w:sz="0"/>
              <w:bottom w:val="nil" w:color="auto" w:sz="0"/>
              <w:right w:val="nil" w:color="auto" w:sz="0"/>
            </w:tcBorders>
            <w:tcMar>
              <w:top w:type="dxa" w:w="0"/>
              <w:left w:type="dxa" w:w="0"/>
              <w:bottom w:type="dxa" w:w="0"/>
              <w:right w:type="dxa" w:w="0"/>
            </w:tcMar>
            <w:vAlign w:val="top"/>
          </w:tcPr>
          <w:p>
            <w:pPr>
              <w:keepLines/>
              <w:spacing w:after="0" w:before="0" w:line="20" w:lineRule="exact"/>
            </w:pPr>
            <w:r>
              <w:rPr>
                <w:rFonts w:ascii="Inter" w:cs="Inter" w:eastAsia="Inter" w:hAnsi="Inter"/>
                <w:color w:val="1C1A16"/>
                <w:kern w:val="2"/>
                <w:sz w:val="4"/>
                <w:szCs w:val="4"/>
              </w:rPr>
              <w:t xml:space="preserve"/>
            </w:r>
          </w:p>
        </w:tc>
        <w:tc>
          <w:tcPr>
            <w:tcW w:type="dxa" w:w="4422"/>
            <w:tcBorders>
              <w:top w:val="nil" w:color="auto" w:sz="0"/>
              <w:left w:val="nil" w:color="auto" w:sz="0"/>
              <w:bottom w:val="nil" w:color="auto" w:sz="0"/>
              <w:right w:val="nil" w:color="auto" w:sz="0"/>
            </w:tcBorders>
            <w:tcMar>
              <w:top w:type="dxa" w:w="0"/>
              <w:left w:type="dxa" w:w="0"/>
              <w:bottom w:type="dxa" w:w="0"/>
              <w:right w:type="dxa" w:w="0"/>
            </w:tcMar>
            <w:vAlign w:val="top"/>
          </w:tcPr>
          <w:p>
            <w:pPr>
              <w:keepNext w:val="false"/>
              <w:keepLines/>
              <w:spacing w:after="0" w:before="0" w:line="213" w:lineRule="atLeast"/>
            </w:pPr>
            <w:r>
              <w:rPr>
                <w:rFonts w:ascii="Inter SemiBold" w:cs="Inter SemiBold" w:eastAsia="Inter SemiBold" w:hAnsi="Inter SemiBold"/>
                <w:caps/>
                <w:color w:val="85692F"/>
                <w:spacing w:val="18"/>
                <w:kern w:val="2"/>
                <w:sz w:val="15"/>
                <w:szCs w:val="15"/>
              </w:rPr>
              <w:t xml:space="preserve">Por Renovare Design &amp; Build SL</w:t>
            </w:r>
          </w:p>
          <w:p>
            <w:pPr>
              <w:keepLines/>
              <w:pBdr>
                <w:bottom w:val="single" w:color="1C1A16" w:sz="6"/>
              </w:pBdr>
              <w:spacing w:after="0" w:before="624" w:line="280" w:lineRule="atLeast"/>
            </w:pPr>
            <w:r>
              <w:rPr>
                <w:rFonts w:ascii="Inter" w:cs="Inter" w:eastAsia="Inter" w:hAnsi="Inter"/>
                <w:color w:val="1C1A16"/>
                <w:kern w:val="2"/>
                <w:sz w:val="19"/>
                <w:szCs w:val="19"/>
              </w:rPr>
              <w:t xml:space="preserve"/>
            </w:r>
          </w:p>
          <w:p>
            <w:pPr>
              <w:keepLines/>
              <w:spacing w:after="0" w:before="113" w:line="280" w:lineRule="atLeast"/>
            </w:pPr>
            <w:r>
              <w:rPr>
                <w:rFonts w:ascii="Inter SemiBold" w:cs="Inter SemiBold" w:eastAsia="Inter SemiBold" w:hAnsi="Inter SemiBold"/>
                <w:color w:val="1C1A16"/>
                <w:kern w:val="2"/>
                <w:sz w:val="19"/>
                <w:szCs w:val="19"/>
              </w:rPr>
              <w:t xml:space="preserve">Sebastián Vanegas · Administrador</w:t>
            </w:r>
          </w:p>
          <w:p>
            <w:pPr>
              <w:keepLines/>
              <w:spacing w:after="0" w:before="85" w:line="280" w:lineRule="atLeast"/>
            </w:pPr>
            <w:r>
              <w:rPr>
                <w:rFonts w:ascii="Inter" w:cs="Inter" w:eastAsia="Inter" w:hAnsi="Inter"/>
                <w:color w:val="625B50"/>
                <w:kern w:val="2"/>
                <w:sz w:val="19"/>
                <w:szCs w:val="19"/>
              </w:rPr>
              <w:t xml:space="preserve">Fecha   ______ / ______ / ____________</w:t>
            </w:r>
          </w:p>
        </w:tc>
      </w:tr>
    </w:tbl>
    <w:p>
      <w:pPr>
        <w:keepLines/>
        <w:spacing w:after="0" w:before="283" w:line="20" w:lineRule="exact"/>
      </w:pPr>
      <w:r>
        <w:rPr>
          <w:rFonts w:ascii="Inter" w:cs="Inter" w:eastAsia="Inter" w:hAnsi="Inter"/>
          <w:color w:val="1C1A16"/>
          <w:kern w:val="2"/>
          <w:sz w:val="4"/>
          <w:szCs w:val="4"/>
        </w:rPr>
        <w:t xml:space="preserve"/>
      </w:r>
    </w:p>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9638"/>
      </w:tblGrid>
      <w:tr>
        <w:trPr>
          <w:cantSplit/>
        </w:trPr>
        <w:tc>
          <w:tcPr>
            <w:tcW w:type="dxa" w:w="9638"/>
            <w:tcBorders>
              <w:top w:val="nil" w:color="auto" w:sz="0"/>
              <w:left w:val="nil" w:color="auto" w:sz="0"/>
              <w:bottom w:val="nil" w:color="auto" w:sz="0"/>
              <w:right w:val="nil" w:color="auto" w:sz="0"/>
            </w:tcBorders>
            <w:shd w:fill="F3ECDD" w:color="auto" w:val="clear"/>
            <w:tcMar>
              <w:top w:type="dxa" w:w="204"/>
              <w:left w:type="dxa" w:w="283"/>
              <w:bottom w:type="dxa" w:w="204"/>
              <w:right w:type="dxa" w:w="283"/>
            </w:tcMar>
            <w:vAlign w:val="top"/>
          </w:tcPr>
          <w:p>
            <w:pPr>
              <w:keepNext/>
              <w:keepLines/>
              <w:spacing w:after="57" w:before="0" w:line="207" w:lineRule="atLeast"/>
            </w:pPr>
            <w:r>
              <w:rPr>
                <w:rFonts w:ascii="Inter SemiBold" w:cs="Inter SemiBold" w:eastAsia="Inter SemiBold" w:hAnsi="Inter SemiBold"/>
                <w:caps/>
                <w:color w:val="85692F"/>
                <w:spacing w:val="21"/>
                <w:kern w:val="2"/>
                <w:sz w:val="15"/>
                <w:szCs w:val="15"/>
              </w:rPr>
              <w:t xml:space="preserve">Después de la firma</w:t>
            </w:r>
          </w:p>
          <w:p>
            <w:pPr>
              <w:keepLines/>
              <w:spacing w:after="0" w:before="0" w:line="288" w:lineRule="atLeast"/>
            </w:pPr>
            <w:r>
              <w:rPr>
                <w:rFonts w:ascii="Inter" w:cs="Inter" w:eastAsia="Inter" w:hAnsi="Inter"/>
                <w:color w:val="1C1A16"/>
                <w:kern w:val="2"/>
                <w:sz w:val="19"/>
                <w:szCs w:val="19"/>
              </w:rPr>
              <w:t xml:space="preserve">Tras la firma y el pago de reserva, confirmamos por escrito la fecha de inicio y coordinamos el calendario definitivo y las elecciones necesarias.</w:t>
            </w:r>
          </w:p>
        </w:tc>
      </w:tr>
    </w:tbl>
    <w:sectPr>
      <w:headerReference w:type="default" r:id="rId9"/>
      <w:footerReference w:type="default" r:id="rId10"/>
      <w:pgSz w:w="11906" w:h="16838" w:orient="portrait"/>
      <w:pgMar w:top="1531" w:right="1134" w:bottom="1191" w:left="1134" w:header="51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Inter">
    <w:charset w:val="00"/>
    <w:family w:val="swiss"/>
    <w:pitch w:val="variable"/>
    <w:embedRegular r:id="rId1" w:fontKey="{153DA878-9D2A-430A-A4FE-13B7B615AD9F}"/>
    <w:embedBold r:id="rId2" w:fontKey="{DD6A5110-4DA6-4D15-90F6-755522E4BF49}"/>
  </w:font>
  <w:font w:name="Inter Medium">
    <w:charset w:val="00"/>
    <w:family w:val="swiss"/>
    <w:pitch w:val="variable"/>
    <w:embedRegular r:id="rId3" w:fontKey="{8DBBD59F-3EDF-4855-A16B-0FE398D65CB8}"/>
  </w:font>
  <w:font w:name="Inter SemiBold">
    <w:charset w:val="00"/>
    <w:family w:val="swiss"/>
    <w:pitch w:val="variable"/>
    <w:embedRegular r:id="rId4" w:fontKey="{08B97CAB-03ED-4862-9B12-99B8168DE81B}"/>
  </w:font>
  <w:font w:name="EB Garamond Medium">
    <w:charset w:val="00"/>
    <w:family w:val="roman"/>
    <w:pitch w:val="variable"/>
    <w:embedRegular r:id="rId5" w:fontKey="{4312BA6E-548B-431E-8CE9-95FBD3BF0496}"/>
    <w:embedItalic r:id="rId6" w:fontKey="{F6D5FC70-8562-4C1D-9066-9689D1756A76}"/>
  </w:font>
  <w:font w:name="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tabs>
        <w:tab w:val="right" w:pos="9638"/>
      </w:tabs>
      <w:spacing w:after="0" w:before="0" w:line="200" w:lineRule="atLeast"/>
    </w:pPr>
    <w:r>
      <w:rPr>
        <w:rFonts w:ascii="Inter" w:cs="Inter" w:eastAsia="Inter" w:hAnsi="Inter"/>
        <w:color w:val="625B50"/>
        <w:kern w:val="2"/>
        <w:sz w:val="14"/>
        <w:szCs w:val="14"/>
      </w:rPr>
      <w:t xml:space="preserve">Renovare Design &amp; Build SL · CIF B-88775341 · Calle Creu Roja 1, bajo · Benetússer · www.renovaredyb.com</w:t>
    </w:r>
    <w:r>
      <w:rPr>
        <w:rFonts w:ascii="Inter SemiBold" w:cs="Inter SemiBold" w:eastAsia="Inter SemiBold" w:hAnsi="Inter SemiBold"/>
        <w:color w:val="85692F"/>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tabs>
        <w:tab w:val="right" w:pos="9638"/>
      </w:tabs>
      <w:spacing w:after="0" w:before="0" w:line="200" w:lineRule="atLeast"/>
    </w:pPr>
    <w:r>
      <w:rPr>
        <w:rFonts w:ascii="Inter" w:cs="Inter" w:eastAsia="Inter" w:hAnsi="Inter"/>
        <w:color w:val="625B50"/>
        <w:kern w:val="2"/>
        <w:sz w:val="14"/>
        <w:szCs w:val="14"/>
      </w:rPr>
      <w:t xml:space="preserve">Renovare Design &amp; Build SL · CIF B-88775341 · Calle Creu Roja 1, bajo · Benetússer · www.renovaredyb.com</w:t>
    </w:r>
    <w:r>
      <w:rPr>
        <w:rFonts w:ascii="Inter SemiBold" w:cs="Inter SemiBold" w:eastAsia="Inter SemiBold" w:hAnsi="Inter SemiBold"/>
        <w:color w:val="85692F"/>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spacing w:after="0" w:before="0" w:line="20" w:lineRule="exact"/>
    </w:pPr>
    <w:r>
      <w:rPr>
        <w:rFonts w:ascii="Inter" w:cs="Inter" w:eastAsia="Inter" w:hAnsi="Inter"/>
        <w:color w:val="1C1A16"/>
        <w:kern w:val="2"/>
        <w:sz w:val="4"/>
        <w:szCs w:val="4"/>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Ind w:type="dxa" w:w="0"/>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0"/>
        <w:bottom w:type="dxa" w:w="0"/>
        <w:right w:type="dxa" w:w="0"/>
      </w:tblCellMar>
    </w:tblPr>
    <w:tblGrid>
      <w:gridCol w:w="4819"/>
      <w:gridCol w:w="4819"/>
    </w:tblGrid>
    <w:tr>
      <w:trPr>
        <w:cantSplit/>
      </w:trPr>
      <w:tc>
        <w:tcPr>
          <w:tcW w:type="dxa" w:w="4819"/>
          <w:tcBorders>
            <w:top w:val="nil" w:color="auto" w:sz="0"/>
            <w:left w:val="nil" w:color="auto" w:sz="0"/>
            <w:bottom w:val="single" w:color="E2DBCD" w:sz="4"/>
            <w:right w:val="nil" w:color="auto" w:sz="0"/>
          </w:tcBorders>
          <w:tcMar>
            <w:top w:type="dxa" w:w="0"/>
            <w:left w:type="dxa" w:w="0"/>
            <w:bottom w:type="dxa" w:w="136"/>
            <w:right w:type="dxa" w:w="0"/>
          </w:tcMar>
          <w:vAlign w:val="bottom"/>
        </w:tcPr>
        <w:p>
          <w:pPr>
            <w:keepLines/>
            <w:spacing w:after="0" w:before="0"/>
          </w:pPr>
          <w:r>
            <w:drawing>
              <wp:inline distT="0" distB="0" distL="0" distR="0">
                <wp:extent cx="8858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342900"/>
                        </a:xfrm>
                        <a:prstGeom prst="rect">
                          <a:avLst/>
                        </a:prstGeom>
                      </pic:spPr>
                    </pic:pic>
                  </a:graphicData>
                </a:graphic>
              </wp:inline>
            </w:drawing>
          </w:r>
        </w:p>
      </w:tc>
      <w:tc>
        <w:tcPr>
          <w:tcW w:type="dxa" w:w="4819"/>
          <w:tcBorders>
            <w:top w:val="nil" w:color="auto" w:sz="0"/>
            <w:left w:val="nil" w:color="auto" w:sz="0"/>
            <w:bottom w:val="single" w:color="E2DBCD" w:sz="4"/>
            <w:right w:val="nil" w:color="auto" w:sz="0"/>
          </w:tcBorders>
          <w:tcMar>
            <w:top w:type="dxa" w:w="0"/>
            <w:left w:type="dxa" w:w="0"/>
            <w:bottom w:type="dxa" w:w="136"/>
            <w:right w:type="dxa" w:w="0"/>
          </w:tcMar>
          <w:vAlign w:val="bottom"/>
        </w:tcPr>
        <w:p>
          <w:pPr>
            <w:keepLines/>
            <w:spacing w:after="0" w:before="0" w:line="200" w:lineRule="atLeast"/>
            <w:jc w:val="right"/>
          </w:pPr>
          <w:r>
            <w:rPr>
              <w:rFonts w:ascii="Inter Medium" w:cs="Inter Medium" w:eastAsia="Inter Medium" w:hAnsi="Inter Medium"/>
              <w:color w:val="625B50"/>
              <w:kern w:val="2"/>
              <w:sz w:val="15"/>
              <w:szCs w:val="15"/>
            </w:rPr>
            <w:t xml:space="preserve">Presupuesto de reforma · Ref. SV-0045-03</w:t>
          </w:r>
        </w:p>
      </w:tc>
    </w:tr>
  </w:tbl>
  <w:p>
    <w:pPr>
      <w:keepLines/>
      <w:spacing w:after="0" w:before="0" w:line="20" w:lineRule="exact"/>
    </w:pPr>
    <w:r>
      <w:rPr>
        <w:rFonts w:ascii="Inter" w:cs="Inter" w:eastAsia="Inter" w:hAnsi="Inter"/>
        <w:color w:val="1C1A16"/>
        <w:kern w:val="2"/>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1A16"/>
        <w:sz w:val="19"/>
        <w:szCs w:val="19"/>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d044f22aa7ee83e735f573c4997ad1767994656.png"/><Relationship Id="rId12" Type="http://schemas.openxmlformats.org/officeDocument/2006/relationships/fontTable" Target="fontTable.xml"/><Relationship Id="rIdGrafico1" Type="http://schemas.openxmlformats.org/officeDocument/2006/relationships/chart" Target="charts/chart1.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6d044f22aa7ee83e735f573c4997ad1767994656.png"/></Relationships>
</file>

<file path=word/charts/_rels/chart1.xml.rels><?xml version="1.0" encoding="UTF-8" standalone="yes"?><Relationships xmlns="http://schemas.openxmlformats.org/package/2006/relationships"><Relationship Id="rId1" Type="http://schemas.openxmlformats.org/officeDocument/2006/relationships/package" Target="../embeddings/Datos_grafico_capitulos.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autoTitleDeleted val="1"/>
    <c:plotArea>
      <c:layout/>
      <c:barChart>
        <c:barDir val="bar"/>
        <c:grouping val="clustered"/>
        <c:varyColors val="0"/>
        <c:ser>
          <c:idx val="0"/>
          <c:order val="0"/>
          <c:tx>
            <c:strRef>
              <c:f>Datos!$C$1</c:f>
              <c:strCache>
                <c:ptCount val="1"/>
                <c:pt idx="0">
                  <c:v>% del total</c:v>
                </c:pt>
              </c:strCache>
            </c:strRef>
          </c:tx>
          <c:spPr>
            <a:solidFill>
              <a:srgbClr val="A3843F"/>
            </a:solidFill>
            <a:ln>
              <a:noFill/>
            </a:ln>
          </c:spPr>
          <c:invertIfNegative val="0"/>
          <c:dLbls>
            <c:numFmt formatCode="0.0%" sourceLinked="0"/>
            <c:spPr>
              <a:noFill/>
              <a:ln>
                <a:noFill/>
              </a:ln>
            </c:spPr>
            <c:txPr>
              <a:bodyPr/>
              <a:lstStyle/>
              <a:p>
                <a:pPr>
                  <a:defRPr sz="800" b="1">
                    <a:solidFill>
                      <a:srgbClr val="1C1A16"/>
                    </a:solidFill>
                    <a:latin typeface="Inter"/>
                    <a:cs typeface="Inter"/>
                  </a:defRPr>
                </a:pPr>
                <a:endParaRPr lang="es-ES"/>
              </a:p>
            </c:txPr>
            <c:dLblPos val="outEnd"/>
            <c:showLegendKey val="0"/>
            <c:showVal val="1"/>
            <c:showCatName val="0"/>
            <c:showSerName val="0"/>
            <c:showPercent val="0"/>
            <c:showBubbleSize val="0"/>
          </c:dLbls>
          <c:cat>
            <c:strRef>
              <c:f>Datos!$A$2:$A$9</c:f>
              <c:strCache>
                <c:ptCount val="8"/>
                <c:pt idx="0">
                  <c:v>Suelos: nivelación y microcemento</c:v>
                </c:pt>
                <c:pt idx="1">
                  <c:v>Electricidad, fontanería y ayudas</c:v>
                </c:pt>
                <c:pt idx="2">
                  <c:v>Paredes y techos</c:v>
                </c:pt>
                <c:pt idx="3">
                  <c:v>Baño completo</c:v>
                </c:pt>
                <c:pt idx="4">
                  <c:v>Cocina: mobiliario y encimera</c:v>
                </c:pt>
                <c:pt idx="5">
                  <c:v>Puertas y ventanas</c:v>
                </c:pt>
                <c:pt idx="6">
                  <c:v>Climatización</c:v>
                </c:pt>
                <c:pt idx="7">
                  <c:v>Protección, limpieza y residuos</c:v>
                </c:pt>
              </c:strCache>
            </c:strRef>
          </c:cat>
          <c:val>
            <c:numRef>
              <c:f>Datos!$C$2:$C$9</c:f>
              <c:numCache>
                <c:formatCode>0.0%</c:formatCode>
                <c:ptCount val="8"/>
                <c:pt idx="0">
                  <c:v>0.241830</c:v>
                </c:pt>
                <c:pt idx="1">
                  <c:v>0.212364</c:v>
                </c:pt>
                <c:pt idx="2">
                  <c:v>0.169417</c:v>
                </c:pt>
                <c:pt idx="3">
                  <c:v>0.127203</c:v>
                </c:pt>
                <c:pt idx="4">
                  <c:v>0.110313</c:v>
                </c:pt>
                <c:pt idx="5">
                  <c:v>0.062598</c:v>
                </c:pt>
                <c:pt idx="6">
                  <c:v>0.055588</c:v>
                </c:pt>
                <c:pt idx="7">
                  <c:v>0.020686</c:v>
                </c:pt>
              </c:numCache>
            </c:numRef>
          </c:val>
        </c:ser>
        <c:gapWidth val="80"/>
        <c:axId val="501"/>
        <c:axId val="502"/>
      </c:barChart>
      <c:catAx>
        <c:axId val="501"/>
        <c:scaling>
          <c:orientation val="maxMin"/>
        </c:scaling>
        <c:delete val="0"/>
        <c:axPos val="l"/>
        <c:numFmt formatCode="General" sourceLinked="1"/>
        <c:majorTickMark val="none"/>
        <c:minorTickMark val="none"/>
        <c:tickLblPos val="nextTo"/>
        <c:spPr>
          <a:ln w="6350">
            <a:solidFill>
              <a:srgbClr val="E2DBCD"/>
            </a:solidFill>
          </a:ln>
        </c:spPr>
        <c:txPr>
          <a:bodyPr/>
          <a:lstStyle/>
          <a:p>
            <a:pPr>
              <a:defRPr sz="800">
                <a:solidFill>
                  <a:srgbClr val="625B50"/>
                </a:solidFill>
                <a:latin typeface="Inter"/>
                <a:cs typeface="Inter"/>
              </a:defRPr>
            </a:pPr>
            <a:endParaRPr lang="es-ES"/>
          </a:p>
        </c:txPr>
        <c:crossAx val="502"/>
        <c:crosses val="autoZero"/>
        <c:auto val="1"/>
        <c:lblAlgn val="ctr"/>
        <c:lblOffset val="100"/>
        <c:noMultiLvlLbl val="0"/>
      </c:catAx>
      <c:valAx>
        <c:axId val="502"/>
        <c:scaling>
          <c:orientation val="minMax"/>
          <c:min val="0"/>
        </c:scaling>
        <c:delete val="1"/>
        <c:axPos val="t"/>
        <c:numFmt formatCode="0%" sourceLinked="0"/>
        <c:majorTickMark val="none"/>
        <c:minorTickMark val="none"/>
        <c:tickLblPos val="nextTo"/>
        <c:crossAx val="501"/>
        <c:crosses val="autoZero"/>
        <c:crossBetween val="between"/>
      </c:valAx>
      <c:spPr>
        <a:noFill/>
        <a:ln>
          <a:noFill/>
        </a:ln>
      </c:spPr>
    </c:plotArea>
    <c:plotVisOnly val="1"/>
    <c:dispBlanksAs val="gap"/>
  </c:chart>
  <c:spPr>
    <a:noFill/>
    <a:ln>
      <a:noFill/>
    </a:ln>
  </c:spPr>
  <c:txPr>
    <a:bodyPr/>
    <a:lstStyle/>
    <a:p>
      <a:pPr>
        <a:defRPr sz="800">
          <a:solidFill>
            <a:srgbClr val="625B50"/>
          </a:solidFill>
          <a:latin typeface="Inter"/>
          <a:cs typeface="Inter"/>
        </a:defRPr>
      </a:pPr>
      <a:endParaRPr lang="es-ES"/>
    </a:p>
  </c:txPr>
  <c:externalData r:id="rId1">
    <c:autoUpdate val="0"/>
  </c:externalData>
</c:chartSpa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Presupuesto de reforma · SV-0045-03</dc:title>
  <dc:creator>Renovare Design &amp; Build SL</dc:creator>
  <cp:lastModifiedBy>Un-named</cp:lastModifiedBy>
  <cp:revision>1</cp:revision>
  <dcterms:created xsi:type="dcterms:W3CDTF">2026-10-09T13:42:25.518Z</dcterms:created>
  <dcterms:modified xsi:type="dcterms:W3CDTF">2026-10-09T13:42:25.519Z</dcterms:modified>
</cp:coreProperties>
</file>

<file path=docProps/custom.xml><?xml version="1.0" encoding="utf-8"?>
<Properties xmlns="http://schemas.openxmlformats.org/officeDocument/2006/custom-properties" xmlns:vt="http://schemas.openxmlformats.org/officeDocument/2006/docPropsVTypes"/>
</file>