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CA1E" w14:textId="77777777" w:rsidR="00180E7C" w:rsidRDefault="00180E7C" w:rsidP="00180E7C">
      <w:pPr>
        <w:pStyle w:val="BodyText"/>
        <w:ind w:left="151"/>
      </w:pPr>
      <w:r>
        <w:rPr>
          <w:noProof/>
        </w:rPr>
        <w:drawing>
          <wp:inline distT="0" distB="0" distL="0" distR="0" wp14:anchorId="74B6FD8A" wp14:editId="2B299936">
            <wp:extent cx="2525755" cy="608076"/>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2525755" cy="608076"/>
                    </a:xfrm>
                    <a:prstGeom prst="rect">
                      <a:avLst/>
                    </a:prstGeom>
                  </pic:spPr>
                </pic:pic>
              </a:graphicData>
            </a:graphic>
          </wp:inline>
        </w:drawing>
      </w:r>
    </w:p>
    <w:p w14:paraId="2471CDD9" w14:textId="77777777" w:rsidR="00180E7C" w:rsidRDefault="00180E7C" w:rsidP="00180E7C">
      <w:pPr>
        <w:pStyle w:val="BodyText"/>
        <w:spacing w:before="93"/>
      </w:pPr>
    </w:p>
    <w:p w14:paraId="3CF2B55B" w14:textId="77777777" w:rsidR="00180E7C" w:rsidRDefault="00180E7C" w:rsidP="00180E7C">
      <w:pPr>
        <w:pStyle w:val="Heading3"/>
        <w:ind w:left="660"/>
      </w:pPr>
      <w:bookmarkStart w:id="0" w:name="2"/>
      <w:bookmarkEnd w:id="0"/>
      <w:r>
        <w:rPr>
          <w:u w:val="single"/>
        </w:rPr>
        <w:t>Independent</w:t>
      </w:r>
      <w:r>
        <w:rPr>
          <w:spacing w:val="-10"/>
          <w:u w:val="single"/>
        </w:rPr>
        <w:t xml:space="preserve"> </w:t>
      </w:r>
      <w:r>
        <w:rPr>
          <w:u w:val="single"/>
        </w:rPr>
        <w:t>Auditor’s</w:t>
      </w:r>
      <w:r>
        <w:rPr>
          <w:spacing w:val="-10"/>
          <w:u w:val="single"/>
        </w:rPr>
        <w:t xml:space="preserve"> </w:t>
      </w:r>
      <w:r>
        <w:rPr>
          <w:spacing w:val="-2"/>
          <w:u w:val="single"/>
        </w:rPr>
        <w:t>Report</w:t>
      </w:r>
    </w:p>
    <w:p w14:paraId="46242E63" w14:textId="77777777" w:rsidR="00180E7C" w:rsidRDefault="00180E7C" w:rsidP="00180E7C">
      <w:pPr>
        <w:pStyle w:val="BodyText"/>
        <w:spacing w:before="80"/>
        <w:rPr>
          <w:rFonts w:ascii="Arial"/>
          <w:b/>
        </w:rPr>
      </w:pPr>
    </w:p>
    <w:p w14:paraId="75146CFE" w14:textId="77777777" w:rsidR="00180E7C" w:rsidRDefault="00180E7C" w:rsidP="00180E7C">
      <w:pPr>
        <w:pStyle w:val="BodyText"/>
        <w:spacing w:line="292" w:lineRule="auto"/>
        <w:ind w:left="660" w:right="7644"/>
      </w:pPr>
      <w:r>
        <w:t>Members</w:t>
      </w:r>
      <w:r>
        <w:rPr>
          <w:spacing w:val="-9"/>
        </w:rPr>
        <w:t xml:space="preserve"> </w:t>
      </w:r>
      <w:r>
        <w:t>of</w:t>
      </w:r>
      <w:r>
        <w:rPr>
          <w:spacing w:val="-8"/>
        </w:rPr>
        <w:t xml:space="preserve"> </w:t>
      </w:r>
      <w:r>
        <w:t>the</w:t>
      </w:r>
      <w:r>
        <w:rPr>
          <w:spacing w:val="-11"/>
        </w:rPr>
        <w:t xml:space="preserve"> </w:t>
      </w:r>
      <w:r>
        <w:t>City</w:t>
      </w:r>
      <w:r>
        <w:rPr>
          <w:spacing w:val="-13"/>
        </w:rPr>
        <w:t xml:space="preserve"> </w:t>
      </w:r>
      <w:r>
        <w:t xml:space="preserve">Council City of </w:t>
      </w:r>
      <w:proofErr w:type="spellStart"/>
      <w:r>
        <w:t>Akutan</w:t>
      </w:r>
      <w:proofErr w:type="spellEnd"/>
    </w:p>
    <w:p w14:paraId="2BA65518" w14:textId="77777777" w:rsidR="00180E7C" w:rsidRDefault="00180E7C" w:rsidP="00180E7C">
      <w:pPr>
        <w:pStyle w:val="BodyText"/>
        <w:spacing w:line="228" w:lineRule="exact"/>
        <w:ind w:left="660"/>
      </w:pPr>
      <w:proofErr w:type="spellStart"/>
      <w:r>
        <w:t>Akutan</w:t>
      </w:r>
      <w:proofErr w:type="spellEnd"/>
      <w:r>
        <w:t>,</w:t>
      </w:r>
      <w:r>
        <w:rPr>
          <w:spacing w:val="-11"/>
        </w:rPr>
        <w:t xml:space="preserve"> </w:t>
      </w:r>
      <w:r>
        <w:rPr>
          <w:spacing w:val="-2"/>
        </w:rPr>
        <w:t>Alaska</w:t>
      </w:r>
    </w:p>
    <w:p w14:paraId="271B4745" w14:textId="77777777" w:rsidR="00180E7C" w:rsidRDefault="00180E7C" w:rsidP="00180E7C">
      <w:pPr>
        <w:pStyle w:val="BodyText"/>
        <w:spacing w:before="80"/>
      </w:pPr>
    </w:p>
    <w:p w14:paraId="5C89FBD4" w14:textId="77777777" w:rsidR="00180E7C" w:rsidRDefault="00180E7C" w:rsidP="00180E7C">
      <w:pPr>
        <w:pStyle w:val="Heading3"/>
        <w:ind w:left="660"/>
      </w:pPr>
      <w:r>
        <w:t>Report</w:t>
      </w:r>
      <w:r>
        <w:rPr>
          <w:spacing w:val="-5"/>
        </w:rPr>
        <w:t xml:space="preserve"> </w:t>
      </w:r>
      <w:r>
        <w:t>on</w:t>
      </w:r>
      <w:r>
        <w:rPr>
          <w:spacing w:val="-6"/>
        </w:rPr>
        <w:t xml:space="preserve"> </w:t>
      </w:r>
      <w:r>
        <w:t>the</w:t>
      </w:r>
      <w:r>
        <w:rPr>
          <w:spacing w:val="-1"/>
        </w:rPr>
        <w:t xml:space="preserve"> </w:t>
      </w:r>
      <w:r>
        <w:t>Audit</w:t>
      </w:r>
      <w:r>
        <w:rPr>
          <w:spacing w:val="-4"/>
        </w:rPr>
        <w:t xml:space="preserve"> </w:t>
      </w:r>
      <w:r>
        <w:t>of</w:t>
      </w:r>
      <w:r>
        <w:rPr>
          <w:spacing w:val="-4"/>
        </w:rPr>
        <w:t xml:space="preserve"> </w:t>
      </w:r>
      <w:r>
        <w:t>the</w:t>
      </w:r>
      <w:r>
        <w:rPr>
          <w:spacing w:val="-6"/>
        </w:rPr>
        <w:t xml:space="preserve"> </w:t>
      </w:r>
      <w:r>
        <w:t>Financial</w:t>
      </w:r>
      <w:r>
        <w:rPr>
          <w:spacing w:val="-6"/>
        </w:rPr>
        <w:t xml:space="preserve"> </w:t>
      </w:r>
      <w:r>
        <w:rPr>
          <w:spacing w:val="-2"/>
        </w:rPr>
        <w:t>Statements</w:t>
      </w:r>
    </w:p>
    <w:p w14:paraId="348EE515" w14:textId="77777777" w:rsidR="00180E7C" w:rsidRDefault="00180E7C" w:rsidP="00180E7C">
      <w:pPr>
        <w:pStyle w:val="BodyText"/>
        <w:spacing w:before="80"/>
        <w:rPr>
          <w:rFonts w:ascii="Arial"/>
          <w:b/>
        </w:rPr>
      </w:pPr>
    </w:p>
    <w:p w14:paraId="68F73423" w14:textId="77777777" w:rsidR="00180E7C" w:rsidRDefault="00180E7C" w:rsidP="00180E7C">
      <w:pPr>
        <w:pStyle w:val="Heading4"/>
        <w:ind w:left="660"/>
      </w:pPr>
      <w:r>
        <w:rPr>
          <w:spacing w:val="-2"/>
        </w:rPr>
        <w:t>Opinions</w:t>
      </w:r>
    </w:p>
    <w:p w14:paraId="6E9816ED" w14:textId="77777777" w:rsidR="00180E7C" w:rsidRDefault="00180E7C" w:rsidP="00180E7C">
      <w:pPr>
        <w:pStyle w:val="BodyText"/>
        <w:spacing w:before="80"/>
        <w:rPr>
          <w:rFonts w:ascii="Arial"/>
          <w:b/>
          <w:i/>
        </w:rPr>
      </w:pPr>
    </w:p>
    <w:p w14:paraId="5BB477BC" w14:textId="77777777" w:rsidR="00180E7C" w:rsidRDefault="00180E7C" w:rsidP="00180E7C">
      <w:pPr>
        <w:pStyle w:val="BodyText"/>
        <w:spacing w:line="292" w:lineRule="auto"/>
        <w:ind w:left="660" w:right="722"/>
        <w:jc w:val="both"/>
      </w:pPr>
      <w:r>
        <w:t>We have audited the accompanying financial statements of the governmental activities, the business-type activities, each major fund, and the aggregate remaining fund information of the City</w:t>
      </w:r>
      <w:r>
        <w:rPr>
          <w:spacing w:val="-1"/>
        </w:rPr>
        <w:t xml:space="preserve"> </w:t>
      </w:r>
      <w:r>
        <w:t xml:space="preserve">of </w:t>
      </w:r>
      <w:proofErr w:type="spellStart"/>
      <w:r>
        <w:t>Akutan</w:t>
      </w:r>
      <w:proofErr w:type="spellEnd"/>
      <w:r>
        <w:t xml:space="preserve">, Alaska, as of and for the year ended June 30, 2022, and the related notes to the financial statements, which collectively comprise the City of </w:t>
      </w:r>
      <w:proofErr w:type="spellStart"/>
      <w:r>
        <w:t>Akutan</w:t>
      </w:r>
      <w:proofErr w:type="spellEnd"/>
      <w:r>
        <w:t>, Alaska’s basic financial statements as listed in the table of contents.</w:t>
      </w:r>
    </w:p>
    <w:p w14:paraId="35624808" w14:textId="77777777" w:rsidR="00180E7C" w:rsidRDefault="00180E7C" w:rsidP="00180E7C">
      <w:pPr>
        <w:pStyle w:val="BodyText"/>
        <w:spacing w:before="28"/>
      </w:pPr>
    </w:p>
    <w:p w14:paraId="1672217E" w14:textId="77777777" w:rsidR="00180E7C" w:rsidRDefault="00180E7C" w:rsidP="00180E7C">
      <w:pPr>
        <w:pStyle w:val="BodyText"/>
        <w:spacing w:line="292" w:lineRule="auto"/>
        <w:ind w:left="660" w:right="724"/>
        <w:jc w:val="both"/>
      </w:pPr>
      <w:r>
        <w:t>In our opinion, the financial statements referred to above present fairly, in all</w:t>
      </w:r>
      <w:r>
        <w:rPr>
          <w:spacing w:val="-3"/>
        </w:rPr>
        <w:t xml:space="preserve"> </w:t>
      </w:r>
      <w:r>
        <w:t>material respects,</w:t>
      </w:r>
      <w:r>
        <w:rPr>
          <w:spacing w:val="-2"/>
        </w:rPr>
        <w:t xml:space="preserve"> </w:t>
      </w:r>
      <w:r>
        <w:t xml:space="preserve">the respective financial position of the governmental activities, the business-type activities, each major fund, and the aggregate remaining fund information of the City of </w:t>
      </w:r>
      <w:proofErr w:type="spellStart"/>
      <w:r>
        <w:t>Akutan</w:t>
      </w:r>
      <w:proofErr w:type="spellEnd"/>
      <w:r>
        <w:t>, Alaska, as of June 30, 2022, and the respective changes in</w:t>
      </w:r>
      <w:r>
        <w:rPr>
          <w:spacing w:val="-2"/>
        </w:rPr>
        <w:t xml:space="preserve"> </w:t>
      </w:r>
      <w:r>
        <w:t>financial position and, where applicable, cash</w:t>
      </w:r>
      <w:r>
        <w:rPr>
          <w:spacing w:val="-2"/>
        </w:rPr>
        <w:t xml:space="preserve"> </w:t>
      </w:r>
      <w:r>
        <w:t>flows thereof for the year then ended in accordance with accounting principles generally accepted in the United States of America.</w:t>
      </w:r>
    </w:p>
    <w:p w14:paraId="337B964C" w14:textId="77777777" w:rsidR="00180E7C" w:rsidRDefault="00180E7C" w:rsidP="00180E7C">
      <w:pPr>
        <w:pStyle w:val="BodyText"/>
        <w:spacing w:before="28"/>
      </w:pPr>
    </w:p>
    <w:p w14:paraId="2741ABF1" w14:textId="77777777" w:rsidR="00180E7C" w:rsidRDefault="00180E7C" w:rsidP="00180E7C">
      <w:pPr>
        <w:pStyle w:val="Heading4"/>
        <w:ind w:left="660"/>
      </w:pPr>
      <w:r>
        <w:t>Basis</w:t>
      </w:r>
      <w:r>
        <w:rPr>
          <w:spacing w:val="-6"/>
        </w:rPr>
        <w:t xml:space="preserve"> </w:t>
      </w:r>
      <w:r>
        <w:t>for</w:t>
      </w:r>
      <w:r>
        <w:rPr>
          <w:spacing w:val="-6"/>
        </w:rPr>
        <w:t xml:space="preserve"> </w:t>
      </w:r>
      <w:r>
        <w:rPr>
          <w:spacing w:val="-2"/>
        </w:rPr>
        <w:t>Opinions</w:t>
      </w:r>
    </w:p>
    <w:p w14:paraId="1D6DF739" w14:textId="77777777" w:rsidR="00180E7C" w:rsidRDefault="00180E7C" w:rsidP="00180E7C">
      <w:pPr>
        <w:pStyle w:val="BodyText"/>
        <w:spacing w:before="80"/>
        <w:rPr>
          <w:rFonts w:ascii="Arial"/>
          <w:b/>
          <w:i/>
        </w:rPr>
      </w:pPr>
    </w:p>
    <w:p w14:paraId="1EB201CD" w14:textId="77777777" w:rsidR="00180E7C" w:rsidRDefault="00180E7C" w:rsidP="00180E7C">
      <w:pPr>
        <w:pStyle w:val="BodyText"/>
        <w:spacing w:line="292" w:lineRule="auto"/>
        <w:ind w:left="660" w:right="716"/>
        <w:jc w:val="both"/>
      </w:pPr>
      <w:r>
        <w:t>We conducted our audit in accordance with auditing standards generally accepted in the United States of America</w:t>
      </w:r>
      <w:r>
        <w:rPr>
          <w:spacing w:val="-1"/>
        </w:rPr>
        <w:t xml:space="preserve"> </w:t>
      </w:r>
      <w:r>
        <w:t>and</w:t>
      </w:r>
      <w:r>
        <w:rPr>
          <w:spacing w:val="-1"/>
        </w:rPr>
        <w:t xml:space="preserve"> </w:t>
      </w:r>
      <w:r>
        <w:t>the</w:t>
      </w:r>
      <w:r>
        <w:rPr>
          <w:spacing w:val="-1"/>
        </w:rPr>
        <w:t xml:space="preserve"> </w:t>
      </w:r>
      <w:r>
        <w:t>standards applicable</w:t>
      </w:r>
      <w:r>
        <w:rPr>
          <w:spacing w:val="-1"/>
        </w:rPr>
        <w:t xml:space="preserve"> </w:t>
      </w:r>
      <w:r>
        <w:t>to</w:t>
      </w:r>
      <w:r>
        <w:rPr>
          <w:spacing w:val="-1"/>
        </w:rPr>
        <w:t xml:space="preserve"> </w:t>
      </w:r>
      <w:r>
        <w:t>financial</w:t>
      </w:r>
      <w:r>
        <w:rPr>
          <w:spacing w:val="-1"/>
        </w:rPr>
        <w:t xml:space="preserve"> </w:t>
      </w:r>
      <w:r>
        <w:t>audits contained</w:t>
      </w:r>
      <w:r>
        <w:rPr>
          <w:spacing w:val="-1"/>
        </w:rPr>
        <w:t xml:space="preserve"> </w:t>
      </w:r>
      <w:r>
        <w:t xml:space="preserve">in </w:t>
      </w:r>
      <w:r>
        <w:rPr>
          <w:rFonts w:ascii="Arial" w:hAnsi="Arial"/>
          <w:i/>
        </w:rPr>
        <w:t>Government Auditing</w:t>
      </w:r>
      <w:r>
        <w:rPr>
          <w:rFonts w:ascii="Arial" w:hAnsi="Arial"/>
          <w:i/>
          <w:spacing w:val="-1"/>
        </w:rPr>
        <w:t xml:space="preserve"> </w:t>
      </w:r>
      <w:r>
        <w:rPr>
          <w:rFonts w:ascii="Arial" w:hAnsi="Arial"/>
          <w:i/>
        </w:rPr>
        <w:t>Standards</w:t>
      </w:r>
      <w:r>
        <w:t>,</w:t>
      </w:r>
      <w:r>
        <w:rPr>
          <w:spacing w:val="-1"/>
        </w:rPr>
        <w:t xml:space="preserve"> </w:t>
      </w:r>
      <w:r>
        <w:t>issued by the Comptroller General of the United States.</w:t>
      </w:r>
      <w:r>
        <w:rPr>
          <w:spacing w:val="40"/>
        </w:rPr>
        <w:t xml:space="preserve"> </w:t>
      </w:r>
      <w:r>
        <w:t xml:space="preserve">Our responsibilities under those standards are further described in the Auditor’s Responsibilities for the Audit of the Financial Statements section of our report. We are required to be independent of the City of </w:t>
      </w:r>
      <w:proofErr w:type="spellStart"/>
      <w:r>
        <w:t>Akutan</w:t>
      </w:r>
      <w:proofErr w:type="spellEnd"/>
      <w:r>
        <w:t>, Alaska, and to meet our other ethical responsibilities, in accordance with the relevant ethical requirements relating to our audit.</w:t>
      </w:r>
      <w:r>
        <w:rPr>
          <w:spacing w:val="-1"/>
        </w:rPr>
        <w:t xml:space="preserve"> </w:t>
      </w:r>
      <w:r>
        <w:t>We believe that the audit evidence we have obtained is sufficient and appropriate to provide a basis for our audit opinions.</w:t>
      </w:r>
    </w:p>
    <w:p w14:paraId="2DFBE2E0" w14:textId="77777777" w:rsidR="00180E7C" w:rsidRDefault="00180E7C" w:rsidP="00180E7C">
      <w:pPr>
        <w:pStyle w:val="BodyText"/>
        <w:spacing w:before="26"/>
      </w:pPr>
    </w:p>
    <w:p w14:paraId="333B7734" w14:textId="77777777" w:rsidR="00180E7C" w:rsidRDefault="00180E7C" w:rsidP="00180E7C">
      <w:pPr>
        <w:pStyle w:val="Heading4"/>
        <w:ind w:left="660"/>
      </w:pPr>
      <w:r>
        <w:t>Emphasis</w:t>
      </w:r>
      <w:r>
        <w:rPr>
          <w:spacing w:val="-7"/>
        </w:rPr>
        <w:t xml:space="preserve"> </w:t>
      </w:r>
      <w:r>
        <w:t>of</w:t>
      </w:r>
      <w:r>
        <w:rPr>
          <w:spacing w:val="-3"/>
        </w:rPr>
        <w:t xml:space="preserve"> </w:t>
      </w:r>
      <w:r>
        <w:rPr>
          <w:spacing w:val="-2"/>
        </w:rPr>
        <w:t>Matter</w:t>
      </w:r>
    </w:p>
    <w:p w14:paraId="0B58D8D7" w14:textId="77777777" w:rsidR="00180E7C" w:rsidRDefault="00180E7C" w:rsidP="00180E7C">
      <w:pPr>
        <w:pStyle w:val="BodyText"/>
        <w:spacing w:before="80"/>
        <w:rPr>
          <w:rFonts w:ascii="Arial"/>
          <w:b/>
          <w:i/>
        </w:rPr>
      </w:pPr>
    </w:p>
    <w:p w14:paraId="6A836680" w14:textId="77777777" w:rsidR="00180E7C" w:rsidRDefault="00180E7C" w:rsidP="00180E7C">
      <w:pPr>
        <w:ind w:left="660"/>
        <w:rPr>
          <w:rFonts w:ascii="Arial"/>
          <w:i/>
          <w:sz w:val="20"/>
        </w:rPr>
      </w:pPr>
      <w:r>
        <w:rPr>
          <w:rFonts w:ascii="Arial"/>
          <w:i/>
          <w:spacing w:val="-2"/>
          <w:sz w:val="20"/>
        </w:rPr>
        <w:t>Change</w:t>
      </w:r>
      <w:r>
        <w:rPr>
          <w:rFonts w:ascii="Arial"/>
          <w:i/>
          <w:spacing w:val="-10"/>
          <w:sz w:val="20"/>
        </w:rPr>
        <w:t xml:space="preserve"> </w:t>
      </w:r>
      <w:r>
        <w:rPr>
          <w:rFonts w:ascii="Arial"/>
          <w:i/>
          <w:spacing w:val="-2"/>
          <w:sz w:val="20"/>
        </w:rPr>
        <w:t>in</w:t>
      </w:r>
      <w:r>
        <w:rPr>
          <w:rFonts w:ascii="Arial"/>
          <w:i/>
          <w:spacing w:val="-7"/>
          <w:sz w:val="20"/>
        </w:rPr>
        <w:t xml:space="preserve"> </w:t>
      </w:r>
      <w:r>
        <w:rPr>
          <w:rFonts w:ascii="Arial"/>
          <w:i/>
          <w:spacing w:val="-2"/>
          <w:sz w:val="20"/>
        </w:rPr>
        <w:t>Accounting</w:t>
      </w:r>
      <w:r>
        <w:rPr>
          <w:rFonts w:ascii="Arial"/>
          <w:i/>
          <w:spacing w:val="-8"/>
          <w:sz w:val="20"/>
        </w:rPr>
        <w:t xml:space="preserve"> </w:t>
      </w:r>
      <w:r>
        <w:rPr>
          <w:rFonts w:ascii="Arial"/>
          <w:i/>
          <w:spacing w:val="-2"/>
          <w:sz w:val="20"/>
        </w:rPr>
        <w:t>Principle</w:t>
      </w:r>
    </w:p>
    <w:p w14:paraId="4E0037C2" w14:textId="77777777" w:rsidR="00180E7C" w:rsidRDefault="00180E7C" w:rsidP="00180E7C">
      <w:pPr>
        <w:pStyle w:val="BodyText"/>
        <w:spacing w:before="51" w:line="292" w:lineRule="auto"/>
        <w:ind w:left="660" w:right="723"/>
        <w:jc w:val="both"/>
      </w:pPr>
      <w:r>
        <w:t>As discussed in Note 14 to the financial statements, in 2022, the City implemented GASB Statement No. 87, Leases, which established standards of accounting and financial reporting for leases by lessees and lessors. The requirements of this Statement apply to financial statements of all state and local governments.</w:t>
      </w:r>
    </w:p>
    <w:p w14:paraId="7967DF98" w14:textId="77777777" w:rsidR="00180E7C" w:rsidRDefault="00180E7C" w:rsidP="00180E7C">
      <w:pPr>
        <w:pStyle w:val="BodyText"/>
        <w:spacing w:before="27"/>
      </w:pPr>
    </w:p>
    <w:p w14:paraId="20F9CD6C" w14:textId="77777777" w:rsidR="00180E7C" w:rsidRDefault="00180E7C" w:rsidP="00180E7C">
      <w:pPr>
        <w:pStyle w:val="BodyText"/>
        <w:spacing w:line="292" w:lineRule="auto"/>
        <w:ind w:left="660" w:right="724"/>
        <w:jc w:val="both"/>
      </w:pPr>
      <w:r>
        <w:t>The new</w:t>
      </w:r>
      <w:r>
        <w:rPr>
          <w:spacing w:val="-2"/>
        </w:rPr>
        <w:t xml:space="preserve"> </w:t>
      </w:r>
      <w:r>
        <w:t>standard</w:t>
      </w:r>
      <w:r>
        <w:rPr>
          <w:spacing w:val="-1"/>
        </w:rPr>
        <w:t xml:space="preserve"> </w:t>
      </w:r>
      <w:r>
        <w:t>requires the City</w:t>
      </w:r>
      <w:r>
        <w:rPr>
          <w:spacing w:val="-3"/>
        </w:rPr>
        <w:t xml:space="preserve"> </w:t>
      </w:r>
      <w:r>
        <w:t>to recognize</w:t>
      </w:r>
      <w:r>
        <w:rPr>
          <w:spacing w:val="-1"/>
        </w:rPr>
        <w:t xml:space="preserve"> </w:t>
      </w:r>
      <w:r>
        <w:t>certain</w:t>
      </w:r>
      <w:r>
        <w:rPr>
          <w:spacing w:val="-1"/>
        </w:rPr>
        <w:t xml:space="preserve"> </w:t>
      </w:r>
      <w:r>
        <w:t>lease assets and liabilities for leases. It establishes a single model for lease accounting based on the underlying principle that leases are financings of the right to use</w:t>
      </w:r>
      <w:r>
        <w:rPr>
          <w:spacing w:val="-1"/>
        </w:rPr>
        <w:t xml:space="preserve"> </w:t>
      </w:r>
      <w:r>
        <w:t>an underlying</w:t>
      </w:r>
      <w:r>
        <w:rPr>
          <w:spacing w:val="-1"/>
        </w:rPr>
        <w:t xml:space="preserve"> </w:t>
      </w:r>
      <w:r>
        <w:t>asset for a period of time. Under this Statement, a lessee is required to recognize a liability and an intangible right-to-use lease asset, and a lessor is required to recognize a lease receivable and a deferred inflow of resources,</w:t>
      </w:r>
      <w:r>
        <w:rPr>
          <w:spacing w:val="-1"/>
        </w:rPr>
        <w:t xml:space="preserve"> </w:t>
      </w:r>
      <w:r>
        <w:t>thereby</w:t>
      </w:r>
      <w:r>
        <w:rPr>
          <w:spacing w:val="-1"/>
        </w:rPr>
        <w:t xml:space="preserve"> </w:t>
      </w:r>
      <w:r>
        <w:t>enhancing</w:t>
      </w:r>
      <w:r>
        <w:rPr>
          <w:spacing w:val="-1"/>
        </w:rPr>
        <w:t xml:space="preserve"> </w:t>
      </w:r>
      <w:r>
        <w:t>the relevance and</w:t>
      </w:r>
      <w:r>
        <w:rPr>
          <w:spacing w:val="-1"/>
        </w:rPr>
        <w:t xml:space="preserve"> </w:t>
      </w:r>
      <w:r>
        <w:t>consistency</w:t>
      </w:r>
      <w:r>
        <w:rPr>
          <w:spacing w:val="-1"/>
        </w:rPr>
        <w:t xml:space="preserve"> </w:t>
      </w:r>
      <w:r>
        <w:t>of information about the City’s leasing activities. Our opinion is not modified with respect to this matter.</w:t>
      </w:r>
    </w:p>
    <w:p w14:paraId="2A4A5DCF" w14:textId="77777777" w:rsidR="00180E7C" w:rsidRDefault="00180E7C" w:rsidP="00180E7C">
      <w:pPr>
        <w:pStyle w:val="BodyText"/>
        <w:rPr>
          <w:sz w:val="16"/>
        </w:rPr>
      </w:pPr>
    </w:p>
    <w:p w14:paraId="01FDA32C" w14:textId="77777777" w:rsidR="00180E7C" w:rsidRDefault="00180E7C" w:rsidP="00180E7C">
      <w:pPr>
        <w:pStyle w:val="BodyText"/>
        <w:rPr>
          <w:sz w:val="16"/>
        </w:rPr>
      </w:pPr>
    </w:p>
    <w:p w14:paraId="7A6981B5" w14:textId="77777777" w:rsidR="00180E7C" w:rsidRDefault="00180E7C" w:rsidP="00180E7C">
      <w:pPr>
        <w:pStyle w:val="BodyText"/>
        <w:spacing w:before="84"/>
        <w:rPr>
          <w:sz w:val="16"/>
        </w:rPr>
      </w:pPr>
    </w:p>
    <w:p w14:paraId="3CA1FBD6" w14:textId="77777777" w:rsidR="00180E7C" w:rsidRDefault="00180E7C" w:rsidP="00180E7C">
      <w:pPr>
        <w:spacing w:before="1"/>
        <w:ind w:left="2545" w:right="2604"/>
        <w:jc w:val="center"/>
        <w:rPr>
          <w:sz w:val="16"/>
        </w:rPr>
      </w:pPr>
      <w:r>
        <w:rPr>
          <w:spacing w:val="-10"/>
          <w:sz w:val="16"/>
        </w:rPr>
        <w:t>1</w:t>
      </w:r>
    </w:p>
    <w:p w14:paraId="2D470DB2" w14:textId="77777777" w:rsidR="00180E7C" w:rsidRDefault="00180E7C" w:rsidP="00180E7C">
      <w:pPr>
        <w:tabs>
          <w:tab w:val="left" w:pos="2811"/>
          <w:tab w:val="left" w:pos="4152"/>
          <w:tab w:val="left" w:pos="5794"/>
          <w:tab w:val="left" w:pos="6604"/>
          <w:tab w:val="left" w:pos="8775"/>
        </w:tabs>
        <w:ind w:left="952" w:right="1017"/>
        <w:jc w:val="center"/>
        <w:rPr>
          <w:rFonts w:ascii="Arial"/>
          <w:i/>
          <w:sz w:val="16"/>
        </w:rPr>
      </w:pPr>
      <w:r>
        <w:rPr>
          <w:rFonts w:ascii="Arial"/>
          <w:i/>
          <w:sz w:val="16"/>
        </w:rPr>
        <w:t>3000 C Street N.</w:t>
      </w:r>
      <w:r>
        <w:rPr>
          <w:rFonts w:ascii="Arial"/>
          <w:i/>
          <w:sz w:val="16"/>
        </w:rPr>
        <w:tab/>
        <w:t>Suite 201</w:t>
      </w:r>
      <w:r>
        <w:rPr>
          <w:rFonts w:ascii="Arial"/>
          <w:i/>
          <w:sz w:val="16"/>
        </w:rPr>
        <w:tab/>
        <w:t>Anchorage, Alaska 99503</w:t>
      </w:r>
      <w:r>
        <w:rPr>
          <w:rFonts w:ascii="Arial"/>
          <w:i/>
          <w:sz w:val="16"/>
        </w:rPr>
        <w:tab/>
        <w:t>Phone 907-274-2992</w:t>
      </w:r>
      <w:r>
        <w:rPr>
          <w:rFonts w:ascii="Arial"/>
          <w:i/>
          <w:sz w:val="16"/>
        </w:rPr>
        <w:tab/>
        <w:t>Fax</w:t>
      </w:r>
      <w:r>
        <w:rPr>
          <w:rFonts w:ascii="Arial"/>
          <w:i/>
          <w:spacing w:val="-12"/>
          <w:sz w:val="16"/>
        </w:rPr>
        <w:t xml:space="preserve"> </w:t>
      </w:r>
      <w:r>
        <w:rPr>
          <w:rFonts w:ascii="Arial"/>
          <w:i/>
          <w:sz w:val="16"/>
        </w:rPr>
        <w:t>907-274-2993 Offices in Juneau and Soldotna</w:t>
      </w:r>
      <w:r>
        <w:rPr>
          <w:rFonts w:ascii="Arial"/>
          <w:i/>
          <w:sz w:val="16"/>
        </w:rPr>
        <w:tab/>
      </w:r>
      <w:r>
        <w:rPr>
          <w:rFonts w:ascii="Arial"/>
          <w:i/>
          <w:sz w:val="16"/>
        </w:rPr>
        <w:tab/>
      </w:r>
      <w:proofErr w:type="gramStart"/>
      <w:r>
        <w:rPr>
          <w:rFonts w:ascii="Arial"/>
          <w:i/>
          <w:sz w:val="16"/>
        </w:rPr>
        <w:t>A</w:t>
      </w:r>
      <w:proofErr w:type="gramEnd"/>
      <w:r>
        <w:rPr>
          <w:rFonts w:ascii="Arial"/>
          <w:i/>
          <w:sz w:val="16"/>
        </w:rPr>
        <w:t xml:space="preserve"> Professional Corporation</w:t>
      </w:r>
    </w:p>
    <w:p w14:paraId="19E52E0C" w14:textId="77777777" w:rsidR="00180E7C" w:rsidRDefault="00180E7C" w:rsidP="00180E7C">
      <w:pPr>
        <w:jc w:val="center"/>
        <w:rPr>
          <w:rFonts w:ascii="Arial"/>
          <w:sz w:val="16"/>
        </w:rPr>
        <w:sectPr w:rsidR="00180E7C" w:rsidSect="008F67E9">
          <w:headerReference w:type="default" r:id="rId6"/>
          <w:pgSz w:w="12240" w:h="15840"/>
          <w:pgMar w:top="720" w:right="540" w:bottom="280" w:left="600" w:header="0" w:footer="0" w:gutter="0"/>
          <w:cols w:space="720"/>
        </w:sectPr>
      </w:pPr>
    </w:p>
    <w:p w14:paraId="082447AC" w14:textId="77777777" w:rsidR="00180E7C" w:rsidRDefault="00180E7C" w:rsidP="00180E7C">
      <w:pPr>
        <w:pStyle w:val="BodyText"/>
        <w:rPr>
          <w:rFonts w:ascii="Arial"/>
          <w:i/>
        </w:rPr>
      </w:pPr>
    </w:p>
    <w:p w14:paraId="72DE45A2" w14:textId="77777777" w:rsidR="00180E7C" w:rsidRDefault="00180E7C" w:rsidP="00180E7C">
      <w:pPr>
        <w:pStyle w:val="BodyText"/>
        <w:spacing w:before="37"/>
        <w:rPr>
          <w:rFonts w:ascii="Arial"/>
          <w:i/>
        </w:rPr>
      </w:pPr>
    </w:p>
    <w:p w14:paraId="542241E0" w14:textId="77777777" w:rsidR="00180E7C" w:rsidRDefault="00180E7C" w:rsidP="00180E7C">
      <w:pPr>
        <w:pStyle w:val="Heading4"/>
        <w:ind w:left="840"/>
        <w:jc w:val="both"/>
      </w:pPr>
      <w:r>
        <w:t>Responsibilities</w:t>
      </w:r>
      <w:r>
        <w:rPr>
          <w:spacing w:val="-8"/>
        </w:rPr>
        <w:t xml:space="preserve"> </w:t>
      </w:r>
      <w:r>
        <w:t>of</w:t>
      </w:r>
      <w:r>
        <w:rPr>
          <w:spacing w:val="-4"/>
        </w:rPr>
        <w:t xml:space="preserve"> </w:t>
      </w:r>
      <w:r>
        <w:t>Management</w:t>
      </w:r>
      <w:r>
        <w:rPr>
          <w:spacing w:val="-7"/>
        </w:rPr>
        <w:t xml:space="preserve"> </w:t>
      </w:r>
      <w:r>
        <w:t>for</w:t>
      </w:r>
      <w:r>
        <w:rPr>
          <w:spacing w:val="-8"/>
        </w:rPr>
        <w:t xml:space="preserve"> </w:t>
      </w:r>
      <w:r>
        <w:t>the</w:t>
      </w:r>
      <w:r>
        <w:rPr>
          <w:spacing w:val="-8"/>
        </w:rPr>
        <w:t xml:space="preserve"> </w:t>
      </w:r>
      <w:r>
        <w:t>Financial</w:t>
      </w:r>
      <w:r>
        <w:rPr>
          <w:spacing w:val="-4"/>
        </w:rPr>
        <w:t xml:space="preserve"> </w:t>
      </w:r>
      <w:r>
        <w:rPr>
          <w:spacing w:val="-2"/>
        </w:rPr>
        <w:t>Statements</w:t>
      </w:r>
    </w:p>
    <w:p w14:paraId="4146091D" w14:textId="77777777" w:rsidR="00180E7C" w:rsidRDefault="00180E7C" w:rsidP="00180E7C">
      <w:pPr>
        <w:pStyle w:val="BodyText"/>
        <w:spacing w:before="61"/>
        <w:rPr>
          <w:rFonts w:ascii="Arial"/>
          <w:b/>
          <w:i/>
        </w:rPr>
      </w:pPr>
    </w:p>
    <w:p w14:paraId="36D8761A" w14:textId="77777777" w:rsidR="00180E7C" w:rsidRDefault="00180E7C" w:rsidP="00180E7C">
      <w:pPr>
        <w:pStyle w:val="BodyText"/>
        <w:spacing w:line="292" w:lineRule="auto"/>
        <w:ind w:left="840" w:right="903"/>
        <w:jc w:val="both"/>
      </w:pPr>
      <w:r>
        <w:t xml:space="preserve">Management is responsible for the preparation and fair presentation of the financial statements in accordance with accounting principles generally accepted in the United States of America, and for the design, implementation, and maintenance of internal control relevant to the preparation and fair presentation of financial statements that are free from material misstatement, whether due to fraud or </w:t>
      </w:r>
      <w:r>
        <w:rPr>
          <w:spacing w:val="-2"/>
        </w:rPr>
        <w:t>error.</w:t>
      </w:r>
    </w:p>
    <w:p w14:paraId="293791BF" w14:textId="77777777" w:rsidR="00180E7C" w:rsidRDefault="00180E7C" w:rsidP="00180E7C">
      <w:pPr>
        <w:pStyle w:val="BodyText"/>
        <w:spacing w:before="6"/>
      </w:pPr>
    </w:p>
    <w:p w14:paraId="53DF1F1B" w14:textId="77777777" w:rsidR="00180E7C" w:rsidRDefault="00180E7C" w:rsidP="00180E7C">
      <w:pPr>
        <w:pStyle w:val="BodyText"/>
        <w:spacing w:line="292" w:lineRule="auto"/>
        <w:ind w:left="840" w:right="901"/>
        <w:jc w:val="both"/>
      </w:pPr>
      <w:r>
        <w:t>In</w:t>
      </w:r>
      <w:r>
        <w:rPr>
          <w:spacing w:val="-4"/>
        </w:rPr>
        <w:t xml:space="preserve"> </w:t>
      </w:r>
      <w:r>
        <w:t>preparing</w:t>
      </w:r>
      <w:r>
        <w:rPr>
          <w:spacing w:val="-2"/>
        </w:rPr>
        <w:t xml:space="preserve"> </w:t>
      </w:r>
      <w:r>
        <w:t>the</w:t>
      </w:r>
      <w:r>
        <w:rPr>
          <w:spacing w:val="-2"/>
        </w:rPr>
        <w:t xml:space="preserve"> </w:t>
      </w:r>
      <w:r>
        <w:t>financial</w:t>
      </w:r>
      <w:r>
        <w:rPr>
          <w:spacing w:val="-2"/>
        </w:rPr>
        <w:t xml:space="preserve"> </w:t>
      </w:r>
      <w:r>
        <w:t>statements,</w:t>
      </w:r>
      <w:r>
        <w:rPr>
          <w:spacing w:val="-5"/>
        </w:rPr>
        <w:t xml:space="preserve"> </w:t>
      </w:r>
      <w:r>
        <w:t>management</w:t>
      </w:r>
      <w:r>
        <w:rPr>
          <w:spacing w:val="-2"/>
        </w:rPr>
        <w:t xml:space="preserve"> </w:t>
      </w:r>
      <w:r>
        <w:t>is required</w:t>
      </w:r>
      <w:r>
        <w:rPr>
          <w:spacing w:val="-2"/>
        </w:rPr>
        <w:t xml:space="preserve"> </w:t>
      </w:r>
      <w:r>
        <w:t>to</w:t>
      </w:r>
      <w:r>
        <w:rPr>
          <w:spacing w:val="-2"/>
        </w:rPr>
        <w:t xml:space="preserve"> </w:t>
      </w:r>
      <w:r>
        <w:t>evaluate whether</w:t>
      </w:r>
      <w:r>
        <w:rPr>
          <w:spacing w:val="-1"/>
        </w:rPr>
        <w:t xml:space="preserve"> </w:t>
      </w:r>
      <w:r>
        <w:t>there</w:t>
      </w:r>
      <w:r>
        <w:rPr>
          <w:spacing w:val="-4"/>
        </w:rPr>
        <w:t xml:space="preserve"> </w:t>
      </w:r>
      <w:r>
        <w:t>are</w:t>
      </w:r>
      <w:r>
        <w:rPr>
          <w:spacing w:val="-4"/>
        </w:rPr>
        <w:t xml:space="preserve"> </w:t>
      </w:r>
      <w:r>
        <w:t>conditions or events, considered in the aggregate, that raise substantial doubt about the</w:t>
      </w:r>
      <w:r>
        <w:rPr>
          <w:spacing w:val="-1"/>
        </w:rPr>
        <w:t xml:space="preserve"> </w:t>
      </w:r>
      <w:r>
        <w:t>City</w:t>
      </w:r>
      <w:r>
        <w:rPr>
          <w:spacing w:val="-1"/>
        </w:rPr>
        <w:t xml:space="preserve"> </w:t>
      </w:r>
      <w:r>
        <w:t xml:space="preserve">of </w:t>
      </w:r>
      <w:proofErr w:type="spellStart"/>
      <w:r>
        <w:t>Akutan</w:t>
      </w:r>
      <w:proofErr w:type="spellEnd"/>
      <w:r>
        <w:t>, Alaska’s ability to continue as a going concern for twelve months beyond the financial statement date, including any currently known information that may raise substantial doubt shortly thereafter.</w:t>
      </w:r>
    </w:p>
    <w:p w14:paraId="31B93D08" w14:textId="77777777" w:rsidR="00180E7C" w:rsidRDefault="00180E7C" w:rsidP="00180E7C">
      <w:pPr>
        <w:pStyle w:val="BodyText"/>
        <w:spacing w:before="9"/>
      </w:pPr>
    </w:p>
    <w:p w14:paraId="2A6716CD" w14:textId="77777777" w:rsidR="00180E7C" w:rsidRDefault="00180E7C" w:rsidP="00180E7C">
      <w:pPr>
        <w:pStyle w:val="Heading4"/>
        <w:ind w:left="840"/>
        <w:jc w:val="both"/>
      </w:pPr>
      <w:r>
        <w:t>Auditor’s</w:t>
      </w:r>
      <w:r>
        <w:rPr>
          <w:spacing w:val="-6"/>
        </w:rPr>
        <w:t xml:space="preserve"> </w:t>
      </w:r>
      <w:r>
        <w:t>Responsibilities</w:t>
      </w:r>
      <w:r>
        <w:rPr>
          <w:spacing w:val="-5"/>
        </w:rPr>
        <w:t xml:space="preserve"> </w:t>
      </w:r>
      <w:r>
        <w:t>for</w:t>
      </w:r>
      <w:r>
        <w:rPr>
          <w:spacing w:val="-7"/>
        </w:rPr>
        <w:t xml:space="preserve"> </w:t>
      </w:r>
      <w:r>
        <w:t>the</w:t>
      </w:r>
      <w:r>
        <w:rPr>
          <w:spacing w:val="-6"/>
        </w:rPr>
        <w:t xml:space="preserve"> </w:t>
      </w:r>
      <w:r>
        <w:t>Audit</w:t>
      </w:r>
      <w:r>
        <w:rPr>
          <w:spacing w:val="-6"/>
        </w:rPr>
        <w:t xml:space="preserve"> </w:t>
      </w:r>
      <w:r>
        <w:t>of</w:t>
      </w:r>
      <w:r>
        <w:rPr>
          <w:spacing w:val="-3"/>
        </w:rPr>
        <w:t xml:space="preserve"> </w:t>
      </w:r>
      <w:r>
        <w:t>the</w:t>
      </w:r>
      <w:r>
        <w:rPr>
          <w:spacing w:val="-6"/>
        </w:rPr>
        <w:t xml:space="preserve"> </w:t>
      </w:r>
      <w:r>
        <w:t>Financial</w:t>
      </w:r>
      <w:r>
        <w:rPr>
          <w:spacing w:val="-3"/>
        </w:rPr>
        <w:t xml:space="preserve"> </w:t>
      </w:r>
      <w:r>
        <w:rPr>
          <w:spacing w:val="-2"/>
        </w:rPr>
        <w:t>Statements</w:t>
      </w:r>
    </w:p>
    <w:p w14:paraId="4FE28778" w14:textId="77777777" w:rsidR="00180E7C" w:rsidRDefault="00180E7C" w:rsidP="00180E7C">
      <w:pPr>
        <w:pStyle w:val="BodyText"/>
        <w:spacing w:before="58"/>
        <w:rPr>
          <w:rFonts w:ascii="Arial"/>
          <w:b/>
          <w:i/>
        </w:rPr>
      </w:pPr>
    </w:p>
    <w:p w14:paraId="4073EDFF" w14:textId="77777777" w:rsidR="00180E7C" w:rsidRDefault="00180E7C" w:rsidP="00180E7C">
      <w:pPr>
        <w:pStyle w:val="BodyText"/>
        <w:spacing w:line="292" w:lineRule="auto"/>
        <w:ind w:left="840" w:right="903"/>
        <w:jc w:val="both"/>
      </w:pPr>
      <w:r>
        <w:t>Our objectives are to obtain reasonable</w:t>
      </w:r>
      <w:r>
        <w:rPr>
          <w:spacing w:val="-2"/>
        </w:rPr>
        <w:t xml:space="preserve"> </w:t>
      </w:r>
      <w:r>
        <w:t>assurance about whether the</w:t>
      </w:r>
      <w:r>
        <w:rPr>
          <w:spacing w:val="-2"/>
        </w:rPr>
        <w:t xml:space="preserve"> </w:t>
      </w:r>
      <w:r>
        <w:t>financial statements as a whole</w:t>
      </w:r>
      <w:r>
        <w:rPr>
          <w:spacing w:val="-2"/>
        </w:rPr>
        <w:t xml:space="preserve"> </w:t>
      </w:r>
      <w:r>
        <w:t xml:space="preserve">are free from material misstatement, whether due to fraud or error, and to issue an auditor’s report that includes our opinions. Reasonable assurance is a high level of assurance but is not absolute assurance and therefore is not a guarantee that an audit conducted in accordance with generally accepted auditing standards and </w:t>
      </w:r>
      <w:r>
        <w:rPr>
          <w:rFonts w:ascii="Arial" w:hAnsi="Arial"/>
          <w:i/>
        </w:rPr>
        <w:t xml:space="preserve">Government Auditing Standards </w:t>
      </w:r>
      <w:r>
        <w:t>will always detect a material misstatement when it exists. The risk of not detecting a material misstatement resulting from fraud is higher than</w:t>
      </w:r>
      <w:r>
        <w:rPr>
          <w:spacing w:val="-2"/>
        </w:rPr>
        <w:t xml:space="preserve"> </w:t>
      </w:r>
      <w:r>
        <w:t>for one resulting from error,</w:t>
      </w:r>
      <w:r>
        <w:rPr>
          <w:spacing w:val="-3"/>
        </w:rPr>
        <w:t xml:space="preserve"> </w:t>
      </w:r>
      <w:r>
        <w:t>as fraud</w:t>
      </w:r>
      <w:r>
        <w:rPr>
          <w:spacing w:val="-3"/>
        </w:rPr>
        <w:t xml:space="preserve"> </w:t>
      </w:r>
      <w:r>
        <w:t>may</w:t>
      </w:r>
      <w:r>
        <w:rPr>
          <w:spacing w:val="-5"/>
        </w:rPr>
        <w:t xml:space="preserve"> </w:t>
      </w:r>
      <w:r>
        <w:t>involve collusion, forgery, intentional</w:t>
      </w:r>
      <w:r>
        <w:rPr>
          <w:spacing w:val="-4"/>
        </w:rPr>
        <w:t xml:space="preserve"> </w:t>
      </w:r>
      <w:r>
        <w:t>omissions,</w:t>
      </w:r>
      <w:r>
        <w:rPr>
          <w:spacing w:val="-1"/>
        </w:rPr>
        <w:t xml:space="preserve"> </w:t>
      </w:r>
      <w:r>
        <w:t>misrepresentations,</w:t>
      </w:r>
      <w:r>
        <w:rPr>
          <w:spacing w:val="-3"/>
        </w:rPr>
        <w:t xml:space="preserve"> </w:t>
      </w:r>
      <w:r>
        <w:t>or the override of internal control. Misstatements are considered material if there is a substantial likelihood that, individually or in</w:t>
      </w:r>
      <w:r>
        <w:rPr>
          <w:spacing w:val="-1"/>
        </w:rPr>
        <w:t xml:space="preserve"> </w:t>
      </w:r>
      <w:r>
        <w:t>the aggregate, they</w:t>
      </w:r>
      <w:r>
        <w:rPr>
          <w:spacing w:val="-1"/>
        </w:rPr>
        <w:t xml:space="preserve"> </w:t>
      </w:r>
      <w:r>
        <w:t>would influence the judgment</w:t>
      </w:r>
      <w:r>
        <w:rPr>
          <w:spacing w:val="-1"/>
        </w:rPr>
        <w:t xml:space="preserve"> </w:t>
      </w:r>
      <w:r>
        <w:t>made by</w:t>
      </w:r>
      <w:r>
        <w:rPr>
          <w:spacing w:val="-3"/>
        </w:rPr>
        <w:t xml:space="preserve"> </w:t>
      </w:r>
      <w:r>
        <w:t>a reasonable</w:t>
      </w:r>
      <w:r>
        <w:rPr>
          <w:spacing w:val="-1"/>
        </w:rPr>
        <w:t xml:space="preserve"> </w:t>
      </w:r>
      <w:r>
        <w:t xml:space="preserve">user based on the financial </w:t>
      </w:r>
      <w:r>
        <w:rPr>
          <w:spacing w:val="-2"/>
        </w:rPr>
        <w:t>statements.</w:t>
      </w:r>
    </w:p>
    <w:p w14:paraId="3A7E1C97" w14:textId="77777777" w:rsidR="00180E7C" w:rsidRDefault="00180E7C" w:rsidP="00180E7C">
      <w:pPr>
        <w:pStyle w:val="BodyText"/>
        <w:spacing w:before="5"/>
      </w:pPr>
    </w:p>
    <w:p w14:paraId="131B953D" w14:textId="77777777" w:rsidR="00180E7C" w:rsidRDefault="00180E7C" w:rsidP="00180E7C">
      <w:pPr>
        <w:spacing w:line="292" w:lineRule="auto"/>
        <w:ind w:left="840" w:right="901"/>
        <w:jc w:val="both"/>
        <w:rPr>
          <w:sz w:val="20"/>
        </w:rPr>
      </w:pPr>
      <w:r>
        <w:rPr>
          <w:sz w:val="20"/>
        </w:rPr>
        <w:t xml:space="preserve">In performing an audit in accordance with generally accepted auditing standards and </w:t>
      </w:r>
      <w:r>
        <w:rPr>
          <w:rFonts w:ascii="Arial"/>
          <w:i/>
          <w:sz w:val="20"/>
        </w:rPr>
        <w:t>Government Auditing Standards</w:t>
      </w:r>
      <w:r>
        <w:rPr>
          <w:sz w:val="20"/>
        </w:rPr>
        <w:t>, we:</w:t>
      </w:r>
    </w:p>
    <w:p w14:paraId="24390A79" w14:textId="77777777" w:rsidR="00180E7C" w:rsidRDefault="00180E7C" w:rsidP="00180E7C">
      <w:pPr>
        <w:pStyle w:val="ListParagraph"/>
        <w:numPr>
          <w:ilvl w:val="0"/>
          <w:numId w:val="1"/>
        </w:numPr>
        <w:tabs>
          <w:tab w:val="left" w:pos="1379"/>
        </w:tabs>
        <w:spacing w:before="118"/>
        <w:ind w:left="1379" w:hanging="359"/>
        <w:jc w:val="left"/>
        <w:rPr>
          <w:sz w:val="20"/>
        </w:rPr>
      </w:pPr>
      <w:r>
        <w:rPr>
          <w:sz w:val="20"/>
        </w:rPr>
        <w:t>Exercise</w:t>
      </w:r>
      <w:r>
        <w:rPr>
          <w:spacing w:val="-8"/>
          <w:sz w:val="20"/>
        </w:rPr>
        <w:t xml:space="preserve"> </w:t>
      </w:r>
      <w:r>
        <w:rPr>
          <w:sz w:val="20"/>
        </w:rPr>
        <w:t>professional</w:t>
      </w:r>
      <w:r>
        <w:rPr>
          <w:spacing w:val="-9"/>
          <w:sz w:val="20"/>
        </w:rPr>
        <w:t xml:space="preserve"> </w:t>
      </w:r>
      <w:r>
        <w:rPr>
          <w:sz w:val="20"/>
        </w:rPr>
        <w:t>judgment</w:t>
      </w:r>
      <w:r>
        <w:rPr>
          <w:spacing w:val="-8"/>
          <w:sz w:val="20"/>
        </w:rPr>
        <w:t xml:space="preserve"> </w:t>
      </w:r>
      <w:r>
        <w:rPr>
          <w:sz w:val="20"/>
        </w:rPr>
        <w:t>and</w:t>
      </w:r>
      <w:r>
        <w:rPr>
          <w:spacing w:val="-8"/>
          <w:sz w:val="20"/>
        </w:rPr>
        <w:t xml:space="preserve"> </w:t>
      </w:r>
      <w:r>
        <w:rPr>
          <w:sz w:val="20"/>
        </w:rPr>
        <w:t>maintain</w:t>
      </w:r>
      <w:r>
        <w:rPr>
          <w:spacing w:val="-8"/>
          <w:sz w:val="20"/>
        </w:rPr>
        <w:t xml:space="preserve"> </w:t>
      </w:r>
      <w:r>
        <w:rPr>
          <w:sz w:val="20"/>
        </w:rPr>
        <w:t>professional</w:t>
      </w:r>
      <w:r>
        <w:rPr>
          <w:spacing w:val="-10"/>
          <w:sz w:val="20"/>
        </w:rPr>
        <w:t xml:space="preserve"> </w:t>
      </w:r>
      <w:r>
        <w:rPr>
          <w:sz w:val="20"/>
        </w:rPr>
        <w:t>skepticism</w:t>
      </w:r>
      <w:r>
        <w:rPr>
          <w:spacing w:val="-2"/>
          <w:sz w:val="20"/>
        </w:rPr>
        <w:t xml:space="preserve"> </w:t>
      </w:r>
      <w:r>
        <w:rPr>
          <w:sz w:val="20"/>
        </w:rPr>
        <w:t>throughout</w:t>
      </w:r>
      <w:r>
        <w:rPr>
          <w:spacing w:val="-4"/>
          <w:sz w:val="20"/>
        </w:rPr>
        <w:t xml:space="preserve"> </w:t>
      </w:r>
      <w:r>
        <w:rPr>
          <w:sz w:val="20"/>
        </w:rPr>
        <w:t>the</w:t>
      </w:r>
      <w:r>
        <w:rPr>
          <w:spacing w:val="-8"/>
          <w:sz w:val="20"/>
        </w:rPr>
        <w:t xml:space="preserve"> </w:t>
      </w:r>
      <w:r>
        <w:rPr>
          <w:spacing w:val="-2"/>
          <w:sz w:val="20"/>
        </w:rPr>
        <w:t>audit.</w:t>
      </w:r>
    </w:p>
    <w:p w14:paraId="3B53781C" w14:textId="77777777" w:rsidR="00180E7C" w:rsidRDefault="00180E7C" w:rsidP="00180E7C">
      <w:pPr>
        <w:pStyle w:val="ListParagraph"/>
        <w:numPr>
          <w:ilvl w:val="0"/>
          <w:numId w:val="1"/>
        </w:numPr>
        <w:tabs>
          <w:tab w:val="left" w:pos="1378"/>
          <w:tab w:val="left" w:pos="1380"/>
        </w:tabs>
        <w:spacing w:before="164" w:line="290" w:lineRule="auto"/>
        <w:ind w:right="902"/>
        <w:rPr>
          <w:sz w:val="20"/>
        </w:rPr>
      </w:pPr>
      <w:r>
        <w:rPr>
          <w:sz w:val="20"/>
        </w:rPr>
        <w:t>Identify and assess the risks of material misstatement of the financial statements, whether due to fraud</w:t>
      </w:r>
      <w:r>
        <w:rPr>
          <w:spacing w:val="-4"/>
          <w:sz w:val="20"/>
        </w:rPr>
        <w:t xml:space="preserve"> </w:t>
      </w:r>
      <w:r>
        <w:rPr>
          <w:sz w:val="20"/>
        </w:rPr>
        <w:t>or</w:t>
      </w:r>
      <w:r>
        <w:rPr>
          <w:spacing w:val="-2"/>
          <w:sz w:val="20"/>
        </w:rPr>
        <w:t xml:space="preserve"> </w:t>
      </w:r>
      <w:r>
        <w:rPr>
          <w:sz w:val="20"/>
        </w:rPr>
        <w:t>error,</w:t>
      </w:r>
      <w:r>
        <w:rPr>
          <w:spacing w:val="-5"/>
          <w:sz w:val="20"/>
        </w:rPr>
        <w:t xml:space="preserve"> </w:t>
      </w:r>
      <w:r>
        <w:rPr>
          <w:sz w:val="20"/>
        </w:rPr>
        <w:t>and</w:t>
      </w:r>
      <w:r>
        <w:rPr>
          <w:spacing w:val="-3"/>
          <w:sz w:val="20"/>
        </w:rPr>
        <w:t xml:space="preserve"> </w:t>
      </w:r>
      <w:r>
        <w:rPr>
          <w:sz w:val="20"/>
        </w:rPr>
        <w:t>design</w:t>
      </w:r>
      <w:r>
        <w:rPr>
          <w:spacing w:val="-1"/>
          <w:sz w:val="20"/>
        </w:rPr>
        <w:t xml:space="preserve"> </w:t>
      </w:r>
      <w:r>
        <w:rPr>
          <w:sz w:val="20"/>
        </w:rPr>
        <w:t>and</w:t>
      </w:r>
      <w:r>
        <w:rPr>
          <w:spacing w:val="-4"/>
          <w:sz w:val="20"/>
        </w:rPr>
        <w:t xml:space="preserve"> </w:t>
      </w:r>
      <w:r>
        <w:rPr>
          <w:sz w:val="20"/>
        </w:rPr>
        <w:t>perform audit</w:t>
      </w:r>
      <w:r>
        <w:rPr>
          <w:spacing w:val="-3"/>
          <w:sz w:val="20"/>
        </w:rPr>
        <w:t xml:space="preserve"> </w:t>
      </w:r>
      <w:r>
        <w:rPr>
          <w:sz w:val="20"/>
        </w:rPr>
        <w:t>procedures</w:t>
      </w:r>
      <w:r>
        <w:rPr>
          <w:spacing w:val="-3"/>
          <w:sz w:val="20"/>
        </w:rPr>
        <w:t xml:space="preserve"> </w:t>
      </w:r>
      <w:r>
        <w:rPr>
          <w:sz w:val="20"/>
        </w:rPr>
        <w:t>responsive</w:t>
      </w:r>
      <w:r>
        <w:rPr>
          <w:spacing w:val="-5"/>
          <w:sz w:val="20"/>
        </w:rPr>
        <w:t xml:space="preserve"> </w:t>
      </w:r>
      <w:r>
        <w:rPr>
          <w:sz w:val="20"/>
        </w:rPr>
        <w:t>to</w:t>
      </w:r>
      <w:r>
        <w:rPr>
          <w:spacing w:val="-5"/>
          <w:sz w:val="20"/>
        </w:rPr>
        <w:t xml:space="preserve"> </w:t>
      </w:r>
      <w:r>
        <w:rPr>
          <w:sz w:val="20"/>
        </w:rPr>
        <w:t>those</w:t>
      </w:r>
      <w:r>
        <w:rPr>
          <w:spacing w:val="-5"/>
          <w:sz w:val="20"/>
        </w:rPr>
        <w:t xml:space="preserve"> </w:t>
      </w:r>
      <w:r>
        <w:rPr>
          <w:sz w:val="20"/>
        </w:rPr>
        <w:t>risks.</w:t>
      </w:r>
      <w:r>
        <w:rPr>
          <w:spacing w:val="-5"/>
          <w:sz w:val="20"/>
        </w:rPr>
        <w:t xml:space="preserve"> </w:t>
      </w:r>
      <w:r>
        <w:rPr>
          <w:sz w:val="20"/>
        </w:rPr>
        <w:t>Such</w:t>
      </w:r>
      <w:r>
        <w:rPr>
          <w:spacing w:val="-1"/>
          <w:sz w:val="20"/>
        </w:rPr>
        <w:t xml:space="preserve"> </w:t>
      </w:r>
      <w:r>
        <w:rPr>
          <w:sz w:val="20"/>
        </w:rPr>
        <w:t>procedures include examining, on a test basis, evidence</w:t>
      </w:r>
      <w:r>
        <w:rPr>
          <w:spacing w:val="-1"/>
          <w:sz w:val="20"/>
        </w:rPr>
        <w:t xml:space="preserve"> </w:t>
      </w:r>
      <w:r>
        <w:rPr>
          <w:sz w:val="20"/>
        </w:rPr>
        <w:t xml:space="preserve">regarding the amounts and disclosures in the financial </w:t>
      </w:r>
      <w:r>
        <w:rPr>
          <w:spacing w:val="-2"/>
          <w:sz w:val="20"/>
        </w:rPr>
        <w:t>statements.</w:t>
      </w:r>
    </w:p>
    <w:p w14:paraId="0C338DD6" w14:textId="77777777" w:rsidR="00180E7C" w:rsidRDefault="00180E7C" w:rsidP="00180E7C">
      <w:pPr>
        <w:pStyle w:val="ListParagraph"/>
        <w:numPr>
          <w:ilvl w:val="0"/>
          <w:numId w:val="1"/>
        </w:numPr>
        <w:tabs>
          <w:tab w:val="left" w:pos="1378"/>
          <w:tab w:val="left" w:pos="1380"/>
        </w:tabs>
        <w:spacing w:before="123" w:line="290" w:lineRule="auto"/>
        <w:ind w:right="906"/>
        <w:rPr>
          <w:sz w:val="20"/>
        </w:rPr>
      </w:pPr>
      <w:r>
        <w:rPr>
          <w:sz w:val="20"/>
        </w:rPr>
        <w:t>Obtain an understanding of internal</w:t>
      </w:r>
      <w:r>
        <w:rPr>
          <w:spacing w:val="-2"/>
          <w:sz w:val="20"/>
        </w:rPr>
        <w:t xml:space="preserve"> </w:t>
      </w:r>
      <w:r>
        <w:rPr>
          <w:sz w:val="20"/>
        </w:rPr>
        <w:t xml:space="preserve">control relevant to the audit in order to design audit procedures that are appropriate in the circumstances, but not for the purpose of expressing an opinion on the effectiveness of the City of </w:t>
      </w:r>
      <w:proofErr w:type="spellStart"/>
      <w:r>
        <w:rPr>
          <w:sz w:val="20"/>
        </w:rPr>
        <w:t>Akutan</w:t>
      </w:r>
      <w:proofErr w:type="spellEnd"/>
      <w:r>
        <w:rPr>
          <w:sz w:val="20"/>
        </w:rPr>
        <w:t xml:space="preserve">, Alaska’s internal control. Accordingly, no such opinion is </w:t>
      </w:r>
      <w:r>
        <w:rPr>
          <w:spacing w:val="-2"/>
          <w:sz w:val="20"/>
        </w:rPr>
        <w:t>expressed.</w:t>
      </w:r>
    </w:p>
    <w:p w14:paraId="30D4FF0B" w14:textId="77777777" w:rsidR="00180E7C" w:rsidRDefault="00180E7C" w:rsidP="00180E7C">
      <w:pPr>
        <w:pStyle w:val="ListParagraph"/>
        <w:numPr>
          <w:ilvl w:val="0"/>
          <w:numId w:val="1"/>
        </w:numPr>
        <w:tabs>
          <w:tab w:val="left" w:pos="1378"/>
          <w:tab w:val="left" w:pos="1380"/>
        </w:tabs>
        <w:spacing w:before="119" w:line="290" w:lineRule="auto"/>
        <w:ind w:right="904"/>
        <w:rPr>
          <w:sz w:val="20"/>
        </w:rPr>
      </w:pPr>
      <w:r>
        <w:rPr>
          <w:sz w:val="20"/>
        </w:rPr>
        <w:t>Evaluate the appropriateness of accounting policies used and the reasonableness of significant accounting estimates made by management, as well as evaluate the overall presentation of the financial statements.</w:t>
      </w:r>
    </w:p>
    <w:p w14:paraId="76491A97" w14:textId="77777777" w:rsidR="00180E7C" w:rsidRDefault="00180E7C" w:rsidP="00180E7C">
      <w:pPr>
        <w:pStyle w:val="ListParagraph"/>
        <w:numPr>
          <w:ilvl w:val="0"/>
          <w:numId w:val="1"/>
        </w:numPr>
        <w:tabs>
          <w:tab w:val="left" w:pos="1378"/>
          <w:tab w:val="left" w:pos="1380"/>
        </w:tabs>
        <w:spacing w:before="120" w:line="290" w:lineRule="auto"/>
        <w:ind w:right="906"/>
        <w:rPr>
          <w:sz w:val="20"/>
        </w:rPr>
      </w:pPr>
      <w:r>
        <w:rPr>
          <w:sz w:val="20"/>
        </w:rPr>
        <w:t>Conclude whether, in our judgment, there are conditions or events, considered in the aggregate, that</w:t>
      </w:r>
      <w:r>
        <w:rPr>
          <w:spacing w:val="-2"/>
          <w:sz w:val="20"/>
        </w:rPr>
        <w:t xml:space="preserve"> </w:t>
      </w:r>
      <w:r>
        <w:rPr>
          <w:sz w:val="20"/>
        </w:rPr>
        <w:t>raise</w:t>
      </w:r>
      <w:r>
        <w:rPr>
          <w:spacing w:val="-2"/>
          <w:sz w:val="20"/>
        </w:rPr>
        <w:t xml:space="preserve"> </w:t>
      </w:r>
      <w:r>
        <w:rPr>
          <w:sz w:val="20"/>
        </w:rPr>
        <w:t>substantial doubt about</w:t>
      </w:r>
      <w:r>
        <w:rPr>
          <w:spacing w:val="-2"/>
          <w:sz w:val="20"/>
        </w:rPr>
        <w:t xml:space="preserve"> </w:t>
      </w:r>
      <w:r>
        <w:rPr>
          <w:sz w:val="20"/>
        </w:rPr>
        <w:t>the</w:t>
      </w:r>
      <w:r>
        <w:rPr>
          <w:spacing w:val="-2"/>
          <w:sz w:val="20"/>
        </w:rPr>
        <w:t xml:space="preserve"> </w:t>
      </w:r>
      <w:r>
        <w:rPr>
          <w:sz w:val="20"/>
        </w:rPr>
        <w:t>City</w:t>
      </w:r>
      <w:r>
        <w:rPr>
          <w:spacing w:val="-4"/>
          <w:sz w:val="20"/>
        </w:rPr>
        <w:t xml:space="preserve"> </w:t>
      </w:r>
      <w:r>
        <w:rPr>
          <w:sz w:val="20"/>
        </w:rPr>
        <w:t xml:space="preserve">of </w:t>
      </w:r>
      <w:proofErr w:type="spellStart"/>
      <w:r>
        <w:rPr>
          <w:sz w:val="20"/>
        </w:rPr>
        <w:t>Akutan</w:t>
      </w:r>
      <w:proofErr w:type="spellEnd"/>
      <w:r>
        <w:rPr>
          <w:sz w:val="20"/>
        </w:rPr>
        <w:t>,</w:t>
      </w:r>
      <w:r>
        <w:rPr>
          <w:spacing w:val="-2"/>
          <w:sz w:val="20"/>
        </w:rPr>
        <w:t xml:space="preserve"> </w:t>
      </w:r>
      <w:r>
        <w:rPr>
          <w:sz w:val="20"/>
        </w:rPr>
        <w:t>Alaska’s ability</w:t>
      </w:r>
      <w:r>
        <w:rPr>
          <w:spacing w:val="-2"/>
          <w:sz w:val="20"/>
        </w:rPr>
        <w:t xml:space="preserve"> </w:t>
      </w:r>
      <w:r>
        <w:rPr>
          <w:sz w:val="20"/>
        </w:rPr>
        <w:t>to</w:t>
      </w:r>
      <w:r>
        <w:rPr>
          <w:spacing w:val="-2"/>
          <w:sz w:val="20"/>
        </w:rPr>
        <w:t xml:space="preserve"> </w:t>
      </w:r>
      <w:r>
        <w:rPr>
          <w:sz w:val="20"/>
        </w:rPr>
        <w:t>continue as a</w:t>
      </w:r>
      <w:r>
        <w:rPr>
          <w:spacing w:val="-4"/>
          <w:sz w:val="20"/>
        </w:rPr>
        <w:t xml:space="preserve"> </w:t>
      </w:r>
      <w:r>
        <w:rPr>
          <w:sz w:val="20"/>
        </w:rPr>
        <w:t>going concern for a reasonable period of time.</w:t>
      </w:r>
    </w:p>
    <w:p w14:paraId="6D8E0BA3" w14:textId="77777777" w:rsidR="00180E7C" w:rsidRDefault="00180E7C" w:rsidP="00180E7C">
      <w:pPr>
        <w:pStyle w:val="BodyText"/>
        <w:spacing w:before="53"/>
      </w:pPr>
    </w:p>
    <w:p w14:paraId="7D6164EC" w14:textId="77777777" w:rsidR="00180E7C" w:rsidRDefault="00180E7C" w:rsidP="00180E7C">
      <w:pPr>
        <w:pStyle w:val="BodyText"/>
        <w:spacing w:line="292" w:lineRule="auto"/>
        <w:ind w:left="840" w:right="901"/>
        <w:jc w:val="both"/>
      </w:pPr>
      <w:r>
        <w:t>We are required to communicate with those charged with governance regarding, among other matters,</w:t>
      </w:r>
      <w:r>
        <w:rPr>
          <w:spacing w:val="40"/>
        </w:rPr>
        <w:t xml:space="preserve"> </w:t>
      </w:r>
      <w:r>
        <w:t>the planned scope and timing of the audit, significant audit findings, and certain internal control-related matters that we identified during the audit.</w:t>
      </w:r>
    </w:p>
    <w:p w14:paraId="1C69A38E" w14:textId="77777777" w:rsidR="00180E7C" w:rsidRDefault="00180E7C" w:rsidP="00180E7C">
      <w:pPr>
        <w:spacing w:line="292" w:lineRule="auto"/>
        <w:jc w:val="both"/>
        <w:sectPr w:rsidR="00180E7C" w:rsidSect="008F67E9">
          <w:headerReference w:type="default" r:id="rId7"/>
          <w:footerReference w:type="default" r:id="rId8"/>
          <w:pgSz w:w="12240" w:h="15840"/>
          <w:pgMar w:top="800" w:right="540" w:bottom="600" w:left="600" w:header="367" w:footer="417" w:gutter="0"/>
          <w:pgNumType w:start="2"/>
          <w:cols w:space="720"/>
        </w:sectPr>
      </w:pPr>
    </w:p>
    <w:p w14:paraId="1BB42EC4" w14:textId="77777777" w:rsidR="00180E7C" w:rsidRDefault="00180E7C" w:rsidP="00180E7C">
      <w:pPr>
        <w:pStyle w:val="BodyText"/>
      </w:pPr>
    </w:p>
    <w:p w14:paraId="6A72E72C" w14:textId="77777777" w:rsidR="00180E7C" w:rsidRDefault="00180E7C" w:rsidP="00180E7C">
      <w:pPr>
        <w:pStyle w:val="BodyText"/>
        <w:spacing w:before="37"/>
      </w:pPr>
    </w:p>
    <w:p w14:paraId="551B783F" w14:textId="77777777" w:rsidR="00180E7C" w:rsidRDefault="00180E7C" w:rsidP="00180E7C">
      <w:pPr>
        <w:pStyle w:val="Heading4"/>
        <w:ind w:left="840"/>
        <w:jc w:val="both"/>
      </w:pPr>
      <w:r>
        <w:t>Required</w:t>
      </w:r>
      <w:r>
        <w:rPr>
          <w:spacing w:val="-9"/>
        </w:rPr>
        <w:t xml:space="preserve"> </w:t>
      </w:r>
      <w:r>
        <w:t>Supplementary</w:t>
      </w:r>
      <w:r>
        <w:rPr>
          <w:spacing w:val="-9"/>
        </w:rPr>
        <w:t xml:space="preserve"> </w:t>
      </w:r>
      <w:r>
        <w:rPr>
          <w:spacing w:val="-2"/>
        </w:rPr>
        <w:t>Information</w:t>
      </w:r>
    </w:p>
    <w:p w14:paraId="19E0ECFE" w14:textId="77777777" w:rsidR="00180E7C" w:rsidRDefault="00180E7C" w:rsidP="00180E7C">
      <w:pPr>
        <w:pStyle w:val="BodyText"/>
        <w:spacing w:before="99"/>
        <w:rPr>
          <w:rFonts w:ascii="Arial"/>
          <w:b/>
          <w:i/>
        </w:rPr>
      </w:pPr>
    </w:p>
    <w:p w14:paraId="64F09986" w14:textId="77777777" w:rsidR="00180E7C" w:rsidRDefault="00180E7C" w:rsidP="00180E7C">
      <w:pPr>
        <w:pStyle w:val="BodyText"/>
        <w:spacing w:line="292" w:lineRule="auto"/>
        <w:ind w:left="840" w:right="899"/>
        <w:jc w:val="both"/>
      </w:pPr>
      <w:r>
        <w:t>Accounting principles generally accepted in the United States of America require that the budgetary comparison information, Schedule of the City’s Proportionate Share of the Net Pension/OPEB Liability (Asset)- Public Employees’ Retirement System, Schedule of the City’s Contributions – Public Employees’ Retirement System, and Notes to the Required Supplementary information on pages 42 and 43-48, respectively, be presented to supplement the basic financial statements. Such information is the responsibility</w:t>
      </w:r>
      <w:r>
        <w:rPr>
          <w:spacing w:val="-4"/>
        </w:rPr>
        <w:t xml:space="preserve"> </w:t>
      </w:r>
      <w:r>
        <w:t>of management and, although not a part of the basic financial</w:t>
      </w:r>
      <w:r>
        <w:rPr>
          <w:spacing w:val="-3"/>
        </w:rPr>
        <w:t xml:space="preserve"> </w:t>
      </w:r>
      <w:r>
        <w:t>statements,</w:t>
      </w:r>
      <w:r>
        <w:rPr>
          <w:spacing w:val="-2"/>
        </w:rPr>
        <w:t xml:space="preserve"> </w:t>
      </w:r>
      <w:r>
        <w:t>is required</w:t>
      </w:r>
      <w:r>
        <w:rPr>
          <w:spacing w:val="-2"/>
        </w:rPr>
        <w:t xml:space="preserve"> </w:t>
      </w:r>
      <w:r>
        <w:t>by</w:t>
      </w:r>
      <w:r>
        <w:rPr>
          <w:spacing w:val="-5"/>
        </w:rPr>
        <w:t xml:space="preserve"> </w:t>
      </w:r>
      <w:r>
        <w:t>the Governmental Accounting Standards Board, who considers it to be an essential part of financial reporting for placing the basic financial statements in an appropriate operational, economic, or historical context. We</w:t>
      </w:r>
      <w:r>
        <w:rPr>
          <w:spacing w:val="-3"/>
        </w:rPr>
        <w:t xml:space="preserve"> </w:t>
      </w:r>
      <w:r>
        <w:t>have applied certain limited procedures to</w:t>
      </w:r>
      <w:r>
        <w:rPr>
          <w:spacing w:val="-1"/>
        </w:rPr>
        <w:t xml:space="preserve"> </w:t>
      </w:r>
      <w:r>
        <w:t>the required</w:t>
      </w:r>
      <w:r>
        <w:rPr>
          <w:spacing w:val="-1"/>
        </w:rPr>
        <w:t xml:space="preserve"> </w:t>
      </w:r>
      <w:r>
        <w:t>supplementary</w:t>
      </w:r>
      <w:r>
        <w:rPr>
          <w:spacing w:val="-1"/>
        </w:rPr>
        <w:t xml:space="preserve"> </w:t>
      </w:r>
      <w:r>
        <w:t>information in</w:t>
      </w:r>
      <w:r>
        <w:rPr>
          <w:spacing w:val="-1"/>
        </w:rPr>
        <w:t xml:space="preserve"> </w:t>
      </w:r>
      <w:r>
        <w:t>accordance with auditing standards generally accepted in the United States of America, which consisted of inquiries of management about the methods of preparing the information and comparing the information for consistency with management’s responses to our inquiries, the basic financial statements, and other knowledge we obtained during our audit of the basic financial statements. We do not express an opinion or provide any assurance on the information because the limited procedures do not provide us with sufficient evidence to express an opinion or provide any assurance.</w:t>
      </w:r>
    </w:p>
    <w:p w14:paraId="7D3E8DEE" w14:textId="77777777" w:rsidR="00180E7C" w:rsidRDefault="00180E7C" w:rsidP="00180E7C">
      <w:pPr>
        <w:pStyle w:val="BodyText"/>
        <w:spacing w:before="42"/>
      </w:pPr>
    </w:p>
    <w:p w14:paraId="63D7E503" w14:textId="77777777" w:rsidR="00180E7C" w:rsidRDefault="00180E7C" w:rsidP="00180E7C">
      <w:pPr>
        <w:pStyle w:val="BodyText"/>
        <w:spacing w:before="1" w:line="292" w:lineRule="auto"/>
        <w:ind w:left="840" w:right="903"/>
        <w:jc w:val="both"/>
      </w:pPr>
      <w:r>
        <w:t>Management has omitted Management, Discussion and Analysis that accounting principles generally accepted in the United States of America require to be presented to supplement the basic financial statements.</w:t>
      </w:r>
      <w:r>
        <w:rPr>
          <w:spacing w:val="-3"/>
        </w:rPr>
        <w:t xml:space="preserve"> </w:t>
      </w:r>
      <w:r>
        <w:t>Such</w:t>
      </w:r>
      <w:r>
        <w:rPr>
          <w:spacing w:val="-1"/>
        </w:rPr>
        <w:t xml:space="preserve"> </w:t>
      </w:r>
      <w:r>
        <w:t>missing</w:t>
      </w:r>
      <w:r>
        <w:rPr>
          <w:spacing w:val="-1"/>
        </w:rPr>
        <w:t xml:space="preserve"> </w:t>
      </w:r>
      <w:r>
        <w:t>information, although not a part</w:t>
      </w:r>
      <w:r>
        <w:rPr>
          <w:spacing w:val="-1"/>
        </w:rPr>
        <w:t xml:space="preserve"> </w:t>
      </w:r>
      <w:r>
        <w:t>of the</w:t>
      </w:r>
      <w:r>
        <w:rPr>
          <w:spacing w:val="-3"/>
        </w:rPr>
        <w:t xml:space="preserve"> </w:t>
      </w:r>
      <w:r>
        <w:t>basic financial</w:t>
      </w:r>
      <w:r>
        <w:rPr>
          <w:spacing w:val="-1"/>
        </w:rPr>
        <w:t xml:space="preserve"> </w:t>
      </w:r>
      <w:r>
        <w:t>statements,</w:t>
      </w:r>
      <w:r>
        <w:rPr>
          <w:spacing w:val="-1"/>
        </w:rPr>
        <w:t xml:space="preserve"> </w:t>
      </w:r>
      <w:r>
        <w:t>is required</w:t>
      </w:r>
      <w:r>
        <w:rPr>
          <w:spacing w:val="-3"/>
        </w:rPr>
        <w:t xml:space="preserve"> </w:t>
      </w:r>
      <w:r>
        <w:t>by the Governmental Accounting Standards Board who considers it to be an essential part of financial reporting for placing the basic financial statements in an appropriate operational, economic, or historical context. Our opinion on the basic financial statements is not affected by this missing information.</w:t>
      </w:r>
    </w:p>
    <w:p w14:paraId="6C79802D" w14:textId="77777777" w:rsidR="00180E7C" w:rsidRDefault="00180E7C" w:rsidP="00180E7C">
      <w:pPr>
        <w:pStyle w:val="BodyText"/>
        <w:spacing w:before="47"/>
      </w:pPr>
    </w:p>
    <w:p w14:paraId="0C372142" w14:textId="77777777" w:rsidR="00180E7C" w:rsidRDefault="00180E7C" w:rsidP="00180E7C">
      <w:pPr>
        <w:pStyle w:val="Heading4"/>
        <w:ind w:left="840"/>
        <w:jc w:val="both"/>
      </w:pPr>
      <w:r>
        <w:rPr>
          <w:spacing w:val="-2"/>
        </w:rPr>
        <w:t>Supplementary</w:t>
      </w:r>
      <w:r>
        <w:rPr>
          <w:spacing w:val="10"/>
        </w:rPr>
        <w:t xml:space="preserve"> </w:t>
      </w:r>
      <w:r>
        <w:rPr>
          <w:spacing w:val="-2"/>
        </w:rPr>
        <w:t>Information</w:t>
      </w:r>
    </w:p>
    <w:p w14:paraId="3A038B76" w14:textId="77777777" w:rsidR="00180E7C" w:rsidRDefault="00180E7C" w:rsidP="00180E7C">
      <w:pPr>
        <w:pStyle w:val="BodyText"/>
        <w:spacing w:before="99"/>
        <w:rPr>
          <w:rFonts w:ascii="Arial"/>
          <w:b/>
          <w:i/>
        </w:rPr>
      </w:pPr>
    </w:p>
    <w:p w14:paraId="350A0755" w14:textId="77777777" w:rsidR="00180E7C" w:rsidRDefault="00180E7C" w:rsidP="00180E7C">
      <w:pPr>
        <w:pStyle w:val="BodyText"/>
        <w:spacing w:line="292" w:lineRule="auto"/>
        <w:ind w:left="840" w:right="898"/>
        <w:jc w:val="both"/>
      </w:pPr>
      <w:r>
        <w:t xml:space="preserve">Our audit was conducted for the purpose of forming opinions on the financial statements that collectively comprise the City of </w:t>
      </w:r>
      <w:proofErr w:type="spellStart"/>
      <w:r>
        <w:t>Akutan</w:t>
      </w:r>
      <w:proofErr w:type="spellEnd"/>
      <w:r>
        <w:t xml:space="preserve">, Alaska’s basic financial statements. The information listed in the table of contents as “Supplementary Information”, which includes Major Governmental funds: Schedule of Revenues, Expenditures and changes in fund balance- Budget and Actual (where applicable), Other Governmental Funds: Combining Balance Sheet, Combining Statement of Revenues, Expenditures and Changes in Fund Balances, schedule of expenditures of federal awards and notes to the schedule, as required by Title 2 U.S. </w:t>
      </w:r>
      <w:r>
        <w:rPr>
          <w:rFonts w:ascii="Arial" w:hAnsi="Arial"/>
          <w:i/>
        </w:rPr>
        <w:t xml:space="preserve">Code of Federal Regulations </w:t>
      </w:r>
      <w:r>
        <w:t xml:space="preserve">Part 200, </w:t>
      </w:r>
      <w:r>
        <w:rPr>
          <w:rFonts w:ascii="Arial" w:hAnsi="Arial"/>
          <w:i/>
        </w:rPr>
        <w:t>Uniform Administrative Requirements, Cost Principles, and Audit Requirements for Federal Awards</w:t>
      </w:r>
      <w:r>
        <w:t>, are presented for purposes of additional analysis and are not a required part of the basic financial statements. Such information is the responsibility of management and was derived from and relates directly to the underlying accounting and other records used to prepare the basic financial statements. The information has been subjected to the auditing procedures applied in the audit of the basic financial statements and certain additional procedures, including comparing and reconciling such information directly to the underlying accounting and other records used to prepare the basic financial statements or to the basic financial statements themselves, and other additional procedures in accordance with auditing standards generally accepted in the United States of America. In our opinion, the Supplementary</w:t>
      </w:r>
      <w:r>
        <w:rPr>
          <w:spacing w:val="-2"/>
        </w:rPr>
        <w:t xml:space="preserve"> </w:t>
      </w:r>
      <w:r>
        <w:t>Information is fairly stated, in all</w:t>
      </w:r>
      <w:r>
        <w:rPr>
          <w:spacing w:val="-1"/>
        </w:rPr>
        <w:t xml:space="preserve"> </w:t>
      </w:r>
      <w:r>
        <w:t>material respects, in relation to the basic financial statements as a whole.</w:t>
      </w:r>
    </w:p>
    <w:p w14:paraId="5CC81D12" w14:textId="77777777" w:rsidR="00180E7C" w:rsidRDefault="00180E7C" w:rsidP="00180E7C">
      <w:pPr>
        <w:spacing w:line="292" w:lineRule="auto"/>
        <w:jc w:val="both"/>
        <w:sectPr w:rsidR="00180E7C" w:rsidSect="008F67E9">
          <w:pgSz w:w="12240" w:h="15840"/>
          <w:pgMar w:top="800" w:right="540" w:bottom="600" w:left="600" w:header="367" w:footer="417" w:gutter="0"/>
          <w:cols w:space="720"/>
        </w:sectPr>
      </w:pPr>
    </w:p>
    <w:p w14:paraId="0410298A" w14:textId="77777777" w:rsidR="00180E7C" w:rsidRDefault="00180E7C" w:rsidP="00180E7C">
      <w:pPr>
        <w:pStyle w:val="BodyText"/>
      </w:pPr>
    </w:p>
    <w:p w14:paraId="7B16391E" w14:textId="77777777" w:rsidR="00180E7C" w:rsidRDefault="00180E7C" w:rsidP="00180E7C">
      <w:pPr>
        <w:pStyle w:val="BodyText"/>
        <w:spacing w:before="37"/>
      </w:pPr>
    </w:p>
    <w:p w14:paraId="1E9A37A0" w14:textId="77777777" w:rsidR="00180E7C" w:rsidRDefault="00180E7C" w:rsidP="00180E7C">
      <w:pPr>
        <w:ind w:left="840"/>
        <w:jc w:val="both"/>
        <w:rPr>
          <w:rFonts w:ascii="Arial"/>
          <w:b/>
          <w:i/>
          <w:sz w:val="20"/>
        </w:rPr>
      </w:pPr>
      <w:r>
        <w:rPr>
          <w:rFonts w:ascii="Arial"/>
          <w:b/>
          <w:sz w:val="20"/>
        </w:rPr>
        <w:t>Other</w:t>
      </w:r>
      <w:r>
        <w:rPr>
          <w:rFonts w:ascii="Arial"/>
          <w:b/>
          <w:spacing w:val="-8"/>
          <w:sz w:val="20"/>
        </w:rPr>
        <w:t xml:space="preserve"> </w:t>
      </w:r>
      <w:r>
        <w:rPr>
          <w:rFonts w:ascii="Arial"/>
          <w:b/>
          <w:sz w:val="20"/>
        </w:rPr>
        <w:t>Reporting</w:t>
      </w:r>
      <w:r>
        <w:rPr>
          <w:rFonts w:ascii="Arial"/>
          <w:b/>
          <w:spacing w:val="-8"/>
          <w:sz w:val="20"/>
        </w:rPr>
        <w:t xml:space="preserve"> </w:t>
      </w:r>
      <w:r>
        <w:rPr>
          <w:rFonts w:ascii="Arial"/>
          <w:b/>
          <w:sz w:val="20"/>
        </w:rPr>
        <w:t>Required</w:t>
      </w:r>
      <w:r>
        <w:rPr>
          <w:rFonts w:ascii="Arial"/>
          <w:b/>
          <w:spacing w:val="-4"/>
          <w:sz w:val="20"/>
        </w:rPr>
        <w:t xml:space="preserve"> </w:t>
      </w:r>
      <w:r>
        <w:rPr>
          <w:rFonts w:ascii="Arial"/>
          <w:b/>
          <w:sz w:val="20"/>
        </w:rPr>
        <w:t>by</w:t>
      </w:r>
      <w:r>
        <w:rPr>
          <w:rFonts w:ascii="Arial"/>
          <w:b/>
          <w:spacing w:val="-5"/>
          <w:sz w:val="20"/>
        </w:rPr>
        <w:t xml:space="preserve"> </w:t>
      </w:r>
      <w:r>
        <w:rPr>
          <w:rFonts w:ascii="Arial"/>
          <w:b/>
          <w:i/>
          <w:sz w:val="20"/>
        </w:rPr>
        <w:t>Government</w:t>
      </w:r>
      <w:r>
        <w:rPr>
          <w:rFonts w:ascii="Arial"/>
          <w:b/>
          <w:i/>
          <w:spacing w:val="-7"/>
          <w:sz w:val="20"/>
        </w:rPr>
        <w:t xml:space="preserve"> </w:t>
      </w:r>
      <w:r>
        <w:rPr>
          <w:rFonts w:ascii="Arial"/>
          <w:b/>
          <w:i/>
          <w:sz w:val="20"/>
        </w:rPr>
        <w:t>Auditing</w:t>
      </w:r>
      <w:r>
        <w:rPr>
          <w:rFonts w:ascii="Arial"/>
          <w:b/>
          <w:i/>
          <w:spacing w:val="-6"/>
          <w:sz w:val="20"/>
        </w:rPr>
        <w:t xml:space="preserve"> </w:t>
      </w:r>
      <w:r>
        <w:rPr>
          <w:rFonts w:ascii="Arial"/>
          <w:b/>
          <w:i/>
          <w:spacing w:val="-2"/>
          <w:sz w:val="20"/>
        </w:rPr>
        <w:t>Standards</w:t>
      </w:r>
    </w:p>
    <w:p w14:paraId="1D54B531" w14:textId="77777777" w:rsidR="00180E7C" w:rsidRDefault="00180E7C" w:rsidP="00180E7C">
      <w:pPr>
        <w:pStyle w:val="BodyText"/>
        <w:spacing w:before="99"/>
        <w:rPr>
          <w:rFonts w:ascii="Arial"/>
          <w:b/>
          <w:i/>
        </w:rPr>
      </w:pPr>
    </w:p>
    <w:p w14:paraId="55B7D7E4" w14:textId="77777777" w:rsidR="00180E7C" w:rsidRDefault="00180E7C" w:rsidP="00180E7C">
      <w:pPr>
        <w:pStyle w:val="BodyText"/>
        <w:spacing w:line="292" w:lineRule="auto"/>
        <w:ind w:left="840" w:right="900"/>
        <w:jc w:val="both"/>
      </w:pPr>
      <w:r>
        <w:rPr>
          <w:noProof/>
        </w:rPr>
        <w:drawing>
          <wp:anchor distT="0" distB="0" distL="0" distR="0" simplePos="0" relativeHeight="251659264" behindDoc="1" locked="0" layoutInCell="1" allowOverlap="1" wp14:anchorId="75E76CAE" wp14:editId="4A4134AA">
            <wp:simplePos x="0" y="0"/>
            <wp:positionH relativeFrom="page">
              <wp:posOffset>914400</wp:posOffset>
            </wp:positionH>
            <wp:positionV relativeFrom="paragraph">
              <wp:posOffset>1449081</wp:posOffset>
            </wp:positionV>
            <wp:extent cx="2878704" cy="41986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2878704" cy="419862"/>
                    </a:xfrm>
                    <a:prstGeom prst="rect">
                      <a:avLst/>
                    </a:prstGeom>
                  </pic:spPr>
                </pic:pic>
              </a:graphicData>
            </a:graphic>
          </wp:anchor>
        </w:drawing>
      </w:r>
      <w:r>
        <w:t xml:space="preserve">In accordance with </w:t>
      </w:r>
      <w:r>
        <w:rPr>
          <w:rFonts w:ascii="Arial" w:hAnsi="Arial"/>
          <w:i/>
        </w:rPr>
        <w:t>Government Auditing Standards</w:t>
      </w:r>
      <w:r>
        <w:t xml:space="preserve">, we have also issued our report dated March 22, 2023, on our consideration of the City of </w:t>
      </w:r>
      <w:proofErr w:type="spellStart"/>
      <w:r>
        <w:t>Akutan</w:t>
      </w:r>
      <w:proofErr w:type="spellEnd"/>
      <w:r>
        <w:t xml:space="preserve">, Alaska’s internal control over financial reporting and on our tests of its compliance with certain provisions of laws, regulations, contracts, and grant agreements and other matters. The purpose of that report is solely to describe the scope of our testing of internal control over financial reporting and compliance and the results of that testing, and not to provide an opinion on the effectiveness of the City of </w:t>
      </w:r>
      <w:proofErr w:type="spellStart"/>
      <w:r>
        <w:t>Akutan</w:t>
      </w:r>
      <w:proofErr w:type="spellEnd"/>
      <w:r>
        <w:t>, Alaska’s internal control over financial reporting or on compliance. That report is an integral part of an audit performed in</w:t>
      </w:r>
      <w:r>
        <w:rPr>
          <w:spacing w:val="-2"/>
        </w:rPr>
        <w:t xml:space="preserve"> </w:t>
      </w:r>
      <w:r>
        <w:t xml:space="preserve">accordance with </w:t>
      </w:r>
      <w:r>
        <w:rPr>
          <w:rFonts w:ascii="Arial" w:hAnsi="Arial"/>
          <w:i/>
        </w:rPr>
        <w:t xml:space="preserve">Government Auditing Standards </w:t>
      </w:r>
      <w:r>
        <w:t>in</w:t>
      </w:r>
      <w:r>
        <w:rPr>
          <w:spacing w:val="-2"/>
        </w:rPr>
        <w:t xml:space="preserve"> </w:t>
      </w:r>
      <w:r>
        <w:t>considering City</w:t>
      </w:r>
      <w:r>
        <w:rPr>
          <w:spacing w:val="-5"/>
        </w:rPr>
        <w:t xml:space="preserve"> </w:t>
      </w:r>
      <w:r>
        <w:t xml:space="preserve">of </w:t>
      </w:r>
      <w:proofErr w:type="spellStart"/>
      <w:r>
        <w:t>Akutan</w:t>
      </w:r>
      <w:proofErr w:type="spellEnd"/>
      <w:r>
        <w:t>, Alaska’s</w:t>
      </w:r>
      <w:r>
        <w:rPr>
          <w:spacing w:val="-1"/>
        </w:rPr>
        <w:t xml:space="preserve"> </w:t>
      </w:r>
      <w:r>
        <w:t>internal</w:t>
      </w:r>
      <w:r>
        <w:rPr>
          <w:spacing w:val="-1"/>
        </w:rPr>
        <w:t xml:space="preserve"> </w:t>
      </w:r>
      <w:r>
        <w:t>control</w:t>
      </w:r>
      <w:r>
        <w:rPr>
          <w:spacing w:val="-1"/>
        </w:rPr>
        <w:t xml:space="preserve"> </w:t>
      </w:r>
      <w:r>
        <w:t>over financial</w:t>
      </w:r>
      <w:r>
        <w:rPr>
          <w:spacing w:val="-2"/>
        </w:rPr>
        <w:t xml:space="preserve"> </w:t>
      </w:r>
      <w:r>
        <w:t>reporting</w:t>
      </w:r>
      <w:r>
        <w:rPr>
          <w:spacing w:val="-1"/>
        </w:rPr>
        <w:t xml:space="preserve"> </w:t>
      </w:r>
      <w:r>
        <w:t>and</w:t>
      </w:r>
      <w:r>
        <w:rPr>
          <w:spacing w:val="-1"/>
        </w:rPr>
        <w:t xml:space="preserve"> </w:t>
      </w:r>
      <w:r>
        <w:t>compliance.</w:t>
      </w:r>
    </w:p>
    <w:p w14:paraId="08E21D6C" w14:textId="77777777" w:rsidR="00F543F8" w:rsidRDefault="00180E7C" w:rsidP="00180E7C">
      <w:r>
        <w:t>Anchorage,</w:t>
      </w:r>
      <w:r>
        <w:rPr>
          <w:spacing w:val="-14"/>
        </w:rPr>
        <w:t xml:space="preserve"> </w:t>
      </w:r>
      <w:r>
        <w:t>Alaska March 22, 2023</w:t>
      </w:r>
    </w:p>
    <w:sectPr w:rsidR="00F543F8" w:rsidSect="008F67E9">
      <w:pgSz w:w="16834" w:h="23818" w:code="9"/>
      <w:pgMar w:top="1701" w:right="4838" w:bottom="8222" w:left="1138" w:header="850" w:footer="103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7845" w14:textId="77777777" w:rsidR="00000000" w:rsidRDefault="00000000">
    <w:pPr>
      <w:pStyle w:val="BodyText"/>
      <w:spacing w:line="14" w:lineRule="auto"/>
    </w:pPr>
    <w:r>
      <w:rPr>
        <w:noProof/>
      </w:rPr>
      <mc:AlternateContent>
        <mc:Choice Requires="wps">
          <w:drawing>
            <wp:anchor distT="0" distB="0" distL="0" distR="0" simplePos="0" relativeHeight="251660288" behindDoc="1" locked="0" layoutInCell="1" allowOverlap="1" wp14:anchorId="6BE9D6BF" wp14:editId="04E0562D">
              <wp:simplePos x="0" y="0"/>
              <wp:positionH relativeFrom="page">
                <wp:posOffset>3813047</wp:posOffset>
              </wp:positionH>
              <wp:positionV relativeFrom="page">
                <wp:posOffset>9654039</wp:posOffset>
              </wp:positionV>
              <wp:extent cx="159385" cy="16700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67005"/>
                      </a:xfrm>
                      <a:prstGeom prst="rect">
                        <a:avLst/>
                      </a:prstGeom>
                    </wps:spPr>
                    <wps:txbx>
                      <w:txbxContent>
                        <w:p w14:paraId="55342C12" w14:textId="77777777" w:rsidR="00000000"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6BE9D6BF" id="_x0000_t202" coordsize="21600,21600" o:spt="202" path="m,l,21600r21600,l21600,xe">
              <v:stroke joinstyle="miter"/>
              <v:path gradientshapeok="t" o:connecttype="rect"/>
            </v:shapetype>
            <v:shape id="Textbox 11" o:spid="_x0000_s1027" type="#_x0000_t202" style="position:absolute;margin-left:300.25pt;margin-top:760.15pt;width:12.55pt;height:13.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" filled="f" stroked="f">
              <v:textbox inset="0,0,0,0">
                <w:txbxContent>
                  <w:p w14:paraId="55342C12" w14:textId="77777777" w:rsidR="00000000"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73DE0" w14:textId="77777777" w:rsidR="00000000" w:rsidRDefault="0000000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13E9" w14:textId="77777777" w:rsidR="00000000" w:rsidRDefault="00000000">
    <w:pPr>
      <w:pStyle w:val="BodyText"/>
      <w:spacing w:line="14" w:lineRule="auto"/>
    </w:pPr>
    <w:r>
      <w:rPr>
        <w:noProof/>
      </w:rPr>
      <mc:AlternateContent>
        <mc:Choice Requires="wps">
          <w:drawing>
            <wp:anchor distT="0" distB="0" distL="0" distR="0" simplePos="0" relativeHeight="251659264" behindDoc="1" locked="0" layoutInCell="1" allowOverlap="1" wp14:anchorId="06B15CBE" wp14:editId="5D3F9952">
              <wp:simplePos x="0" y="0"/>
              <wp:positionH relativeFrom="page">
                <wp:posOffset>901700</wp:posOffset>
              </wp:positionH>
              <wp:positionV relativeFrom="page">
                <wp:posOffset>220479</wp:posOffset>
              </wp:positionV>
              <wp:extent cx="1619885" cy="31305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885" cy="313055"/>
                      </a:xfrm>
                      <a:prstGeom prst="rect">
                        <a:avLst/>
                      </a:prstGeom>
                    </wps:spPr>
                    <wps:txbx>
                      <w:txbxContent>
                        <w:p w14:paraId="06236C2B" w14:textId="77777777" w:rsidR="00000000" w:rsidRDefault="00000000">
                          <w:pPr>
                            <w:pStyle w:val="BodyText"/>
                            <w:spacing w:before="12"/>
                            <w:ind w:left="20"/>
                          </w:pPr>
                          <w:r>
                            <w:t>Members</w:t>
                          </w:r>
                          <w:r>
                            <w:rPr>
                              <w:spacing w:val="-9"/>
                            </w:rPr>
                            <w:t xml:space="preserve"> </w:t>
                          </w:r>
                          <w:r>
                            <w:t>of</w:t>
                          </w:r>
                          <w:r>
                            <w:rPr>
                              <w:spacing w:val="-8"/>
                            </w:rPr>
                            <w:t xml:space="preserve"> </w:t>
                          </w:r>
                          <w:r>
                            <w:t>the</w:t>
                          </w:r>
                          <w:r>
                            <w:rPr>
                              <w:spacing w:val="-11"/>
                            </w:rPr>
                            <w:t xml:space="preserve"> </w:t>
                          </w:r>
                          <w:r>
                            <w:t>City</w:t>
                          </w:r>
                          <w:r>
                            <w:rPr>
                              <w:spacing w:val="-13"/>
                            </w:rPr>
                            <w:t xml:space="preserve"> </w:t>
                          </w:r>
                          <w:r>
                            <w:t xml:space="preserve">Council City of </w:t>
                          </w:r>
                          <w:proofErr w:type="spellStart"/>
                          <w:r>
                            <w:t>Akutan</w:t>
                          </w:r>
                          <w:proofErr w:type="spellEnd"/>
                          <w:r>
                            <w:t>, Alaska</w:t>
                          </w:r>
                        </w:p>
                      </w:txbxContent>
                    </wps:txbx>
                    <wps:bodyPr wrap="square" lIns="0" tIns="0" rIns="0" bIns="0" rtlCol="0">
                      <a:noAutofit/>
                    </wps:bodyPr>
                  </wps:wsp>
                </a:graphicData>
              </a:graphic>
            </wp:anchor>
          </w:drawing>
        </mc:Choice>
        <mc:Fallback>
          <w:pict>
            <v:shapetype w14:anchorId="06B15CBE" id="_x0000_t202" coordsize="21600,21600" o:spt="202" path="m,l,21600r21600,l21600,xe">
              <v:stroke joinstyle="miter"/>
              <v:path gradientshapeok="t" o:connecttype="rect"/>
            </v:shapetype>
            <v:shape id="Textbox 10" o:spid="_x0000_s1026" type="#_x0000_t202" style="position:absolute;margin-left:71pt;margin-top:17.35pt;width:127.55pt;height:24.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" filled="f" stroked="f">
              <v:textbox inset="0,0,0,0">
                <w:txbxContent>
                  <w:p w14:paraId="06236C2B" w14:textId="77777777" w:rsidR="00000000" w:rsidRDefault="00000000">
                    <w:pPr>
                      <w:pStyle w:val="BodyText"/>
                      <w:spacing w:before="12"/>
                      <w:ind w:left="20"/>
                    </w:pPr>
                    <w:r>
                      <w:t>Members</w:t>
                    </w:r>
                    <w:r>
                      <w:rPr>
                        <w:spacing w:val="-9"/>
                      </w:rPr>
                      <w:t xml:space="preserve"> </w:t>
                    </w:r>
                    <w:r>
                      <w:t>of</w:t>
                    </w:r>
                    <w:r>
                      <w:rPr>
                        <w:spacing w:val="-8"/>
                      </w:rPr>
                      <w:t xml:space="preserve"> </w:t>
                    </w:r>
                    <w:r>
                      <w:t>the</w:t>
                    </w:r>
                    <w:r>
                      <w:rPr>
                        <w:spacing w:val="-11"/>
                      </w:rPr>
                      <w:t xml:space="preserve"> </w:t>
                    </w:r>
                    <w:r>
                      <w:t>City</w:t>
                    </w:r>
                    <w:r>
                      <w:rPr>
                        <w:spacing w:val="-13"/>
                      </w:rPr>
                      <w:t xml:space="preserve"> </w:t>
                    </w:r>
                    <w:r>
                      <w:t xml:space="preserve">Council City of </w:t>
                    </w:r>
                    <w:proofErr w:type="spellStart"/>
                    <w:r>
                      <w:t>Akutan</w:t>
                    </w:r>
                    <w:proofErr w:type="spellEnd"/>
                    <w:r>
                      <w:t>, Alaska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E5196"/>
    <w:multiLevelType w:val="hybridMultilevel"/>
    <w:tmpl w:val="391A0E44"/>
    <w:lvl w:ilvl="0" w:tplc="B066D5E2">
      <w:numFmt w:val="bullet"/>
      <w:lvlText w:val="•"/>
      <w:lvlJc w:val="left"/>
      <w:pPr>
        <w:ind w:left="1380" w:hanging="360"/>
      </w:pPr>
      <w:rPr>
        <w:rFonts w:ascii="Cambria" w:eastAsia="Cambria" w:hAnsi="Cambria" w:cs="Cambria" w:hint="default"/>
        <w:b w:val="0"/>
        <w:bCs w:val="0"/>
        <w:i w:val="0"/>
        <w:iCs w:val="0"/>
        <w:spacing w:val="0"/>
        <w:w w:val="103"/>
        <w:sz w:val="20"/>
        <w:szCs w:val="20"/>
        <w:lang w:val="en-US" w:eastAsia="en-US" w:bidi="ar-SA"/>
      </w:rPr>
    </w:lvl>
    <w:lvl w:ilvl="1" w:tplc="F7E82D12">
      <w:numFmt w:val="bullet"/>
      <w:lvlText w:val="•"/>
      <w:lvlJc w:val="left"/>
      <w:pPr>
        <w:ind w:left="2352" w:hanging="360"/>
      </w:pPr>
      <w:rPr>
        <w:rFonts w:hint="default"/>
        <w:lang w:val="en-US" w:eastAsia="en-US" w:bidi="ar-SA"/>
      </w:rPr>
    </w:lvl>
    <w:lvl w:ilvl="2" w:tplc="7312E966">
      <w:numFmt w:val="bullet"/>
      <w:lvlText w:val="•"/>
      <w:lvlJc w:val="left"/>
      <w:pPr>
        <w:ind w:left="3324" w:hanging="360"/>
      </w:pPr>
      <w:rPr>
        <w:rFonts w:hint="default"/>
        <w:lang w:val="en-US" w:eastAsia="en-US" w:bidi="ar-SA"/>
      </w:rPr>
    </w:lvl>
    <w:lvl w:ilvl="3" w:tplc="6C5A54DA">
      <w:numFmt w:val="bullet"/>
      <w:lvlText w:val="•"/>
      <w:lvlJc w:val="left"/>
      <w:pPr>
        <w:ind w:left="4296" w:hanging="360"/>
      </w:pPr>
      <w:rPr>
        <w:rFonts w:hint="default"/>
        <w:lang w:val="en-US" w:eastAsia="en-US" w:bidi="ar-SA"/>
      </w:rPr>
    </w:lvl>
    <w:lvl w:ilvl="4" w:tplc="BD1A216E">
      <w:numFmt w:val="bullet"/>
      <w:lvlText w:val="•"/>
      <w:lvlJc w:val="left"/>
      <w:pPr>
        <w:ind w:left="5268" w:hanging="360"/>
      </w:pPr>
      <w:rPr>
        <w:rFonts w:hint="default"/>
        <w:lang w:val="en-US" w:eastAsia="en-US" w:bidi="ar-SA"/>
      </w:rPr>
    </w:lvl>
    <w:lvl w:ilvl="5" w:tplc="F6F008EC">
      <w:numFmt w:val="bullet"/>
      <w:lvlText w:val="•"/>
      <w:lvlJc w:val="left"/>
      <w:pPr>
        <w:ind w:left="6240" w:hanging="360"/>
      </w:pPr>
      <w:rPr>
        <w:rFonts w:hint="default"/>
        <w:lang w:val="en-US" w:eastAsia="en-US" w:bidi="ar-SA"/>
      </w:rPr>
    </w:lvl>
    <w:lvl w:ilvl="6" w:tplc="8F60E77C">
      <w:numFmt w:val="bullet"/>
      <w:lvlText w:val="•"/>
      <w:lvlJc w:val="left"/>
      <w:pPr>
        <w:ind w:left="7212" w:hanging="360"/>
      </w:pPr>
      <w:rPr>
        <w:rFonts w:hint="default"/>
        <w:lang w:val="en-US" w:eastAsia="en-US" w:bidi="ar-SA"/>
      </w:rPr>
    </w:lvl>
    <w:lvl w:ilvl="7" w:tplc="09C428D6">
      <w:numFmt w:val="bullet"/>
      <w:lvlText w:val="•"/>
      <w:lvlJc w:val="left"/>
      <w:pPr>
        <w:ind w:left="8184" w:hanging="360"/>
      </w:pPr>
      <w:rPr>
        <w:rFonts w:hint="default"/>
        <w:lang w:val="en-US" w:eastAsia="en-US" w:bidi="ar-SA"/>
      </w:rPr>
    </w:lvl>
    <w:lvl w:ilvl="8" w:tplc="F7A05F4A">
      <w:numFmt w:val="bullet"/>
      <w:lvlText w:val="•"/>
      <w:lvlJc w:val="left"/>
      <w:pPr>
        <w:ind w:left="9156" w:hanging="360"/>
      </w:pPr>
      <w:rPr>
        <w:rFonts w:hint="default"/>
        <w:lang w:val="en-US" w:eastAsia="en-US" w:bidi="ar-SA"/>
      </w:rPr>
    </w:lvl>
  </w:abstractNum>
  <w:num w:numId="1" w16cid:durableId="1824851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7C"/>
    <w:rsid w:val="00180E7C"/>
    <w:rsid w:val="004F7410"/>
    <w:rsid w:val="008F67E9"/>
    <w:rsid w:val="009C7A1C"/>
    <w:rsid w:val="00F54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0394"/>
  <w15:chartTrackingRefBased/>
  <w15:docId w15:val="{BD9DD8C1-8C41-4F30-975E-A9CCFF27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E7C"/>
    <w:pPr>
      <w:widowControl w:val="0"/>
      <w:autoSpaceDE w:val="0"/>
      <w:autoSpaceDN w:val="0"/>
      <w:spacing w:after="0" w:line="240" w:lineRule="auto"/>
    </w:pPr>
    <w:rPr>
      <w:rFonts w:ascii="Arial MT" w:eastAsia="Arial MT" w:hAnsi="Arial MT" w:cs="Arial MT"/>
      <w:color w:val="auto"/>
      <w:kern w:val="0"/>
      <w:lang w:val="en-US"/>
      <w14:ligatures w14:val="none"/>
    </w:rPr>
  </w:style>
  <w:style w:type="paragraph" w:styleId="Heading3">
    <w:name w:val="heading 3"/>
    <w:basedOn w:val="Normal"/>
    <w:link w:val="Heading3Char"/>
    <w:uiPriority w:val="9"/>
    <w:unhideWhenUsed/>
    <w:qFormat/>
    <w:rsid w:val="00180E7C"/>
    <w:pPr>
      <w:ind w:left="800"/>
      <w:outlineLvl w:val="2"/>
    </w:pPr>
    <w:rPr>
      <w:rFonts w:ascii="Arial" w:eastAsia="Arial" w:hAnsi="Arial" w:cs="Arial"/>
      <w:b/>
      <w:bCs/>
      <w:sz w:val="20"/>
      <w:szCs w:val="20"/>
    </w:rPr>
  </w:style>
  <w:style w:type="paragraph" w:styleId="Heading4">
    <w:name w:val="heading 4"/>
    <w:basedOn w:val="Normal"/>
    <w:link w:val="Heading4Char"/>
    <w:uiPriority w:val="9"/>
    <w:unhideWhenUsed/>
    <w:qFormat/>
    <w:rsid w:val="00180E7C"/>
    <w:pPr>
      <w:ind w:left="800"/>
      <w:outlineLvl w:val="3"/>
    </w:pPr>
    <w:rPr>
      <w:rFonts w:ascii="Arial" w:eastAsia="Arial" w:hAnsi="Arial"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0E7C"/>
    <w:rPr>
      <w:rFonts w:ascii="Arial" w:eastAsia="Arial" w:hAnsi="Arial" w:cs="Arial"/>
      <w:b/>
      <w:bCs/>
      <w:color w:val="auto"/>
      <w:kern w:val="0"/>
      <w:sz w:val="20"/>
      <w:szCs w:val="20"/>
      <w:lang w:val="en-US"/>
      <w14:ligatures w14:val="none"/>
    </w:rPr>
  </w:style>
  <w:style w:type="character" w:customStyle="1" w:styleId="Heading4Char">
    <w:name w:val="Heading 4 Char"/>
    <w:basedOn w:val="DefaultParagraphFont"/>
    <w:link w:val="Heading4"/>
    <w:uiPriority w:val="9"/>
    <w:rsid w:val="00180E7C"/>
    <w:rPr>
      <w:rFonts w:ascii="Arial" w:eastAsia="Arial" w:hAnsi="Arial" w:cs="Arial"/>
      <w:b/>
      <w:bCs/>
      <w:i/>
      <w:iCs/>
      <w:color w:val="auto"/>
      <w:kern w:val="0"/>
      <w:sz w:val="20"/>
      <w:szCs w:val="20"/>
      <w:lang w:val="en-US"/>
      <w14:ligatures w14:val="none"/>
    </w:rPr>
  </w:style>
  <w:style w:type="paragraph" w:styleId="BodyText">
    <w:name w:val="Body Text"/>
    <w:basedOn w:val="Normal"/>
    <w:link w:val="BodyTextChar"/>
    <w:uiPriority w:val="1"/>
    <w:qFormat/>
    <w:rsid w:val="00180E7C"/>
    <w:rPr>
      <w:sz w:val="20"/>
      <w:szCs w:val="20"/>
    </w:rPr>
  </w:style>
  <w:style w:type="character" w:customStyle="1" w:styleId="BodyTextChar">
    <w:name w:val="Body Text Char"/>
    <w:basedOn w:val="DefaultParagraphFont"/>
    <w:link w:val="BodyText"/>
    <w:uiPriority w:val="1"/>
    <w:rsid w:val="00180E7C"/>
    <w:rPr>
      <w:rFonts w:ascii="Arial MT" w:eastAsia="Arial MT" w:hAnsi="Arial MT" w:cs="Arial MT"/>
      <w:color w:val="auto"/>
      <w:kern w:val="0"/>
      <w:sz w:val="20"/>
      <w:szCs w:val="20"/>
      <w:lang w:val="en-US"/>
      <w14:ligatures w14:val="none"/>
    </w:rPr>
  </w:style>
  <w:style w:type="paragraph" w:styleId="ListParagraph">
    <w:name w:val="List Paragraph"/>
    <w:basedOn w:val="Normal"/>
    <w:uiPriority w:val="1"/>
    <w:qFormat/>
    <w:rsid w:val="00180E7C"/>
    <w:pPr>
      <w:ind w:left="1520" w:hanging="36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1673</Words>
  <Characters>9542</Characters>
  <Application>Microsoft Office Word</Application>
  <DocSecurity>0</DocSecurity>
  <Lines>79</Lines>
  <Paragraphs>22</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Sriram</dc:creator>
  <cp:keywords/>
  <dc:description/>
  <cp:lastModifiedBy>Shreya Sriram</cp:lastModifiedBy>
  <cp:revision>1</cp:revision>
  <dcterms:created xsi:type="dcterms:W3CDTF">2024-02-12T10:19:00Z</dcterms:created>
  <dcterms:modified xsi:type="dcterms:W3CDTF">2024-02-12T10:19:00Z</dcterms:modified>
</cp:coreProperties>
</file>